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E27EA" w14:textId="77777777" w:rsidR="00B546B9" w:rsidRDefault="00B546B9" w:rsidP="00B546B9">
      <w:pPr>
        <w:pStyle w:val="MessageHeader"/>
        <w:keepLines w:val="0"/>
        <w:spacing w:after="0" w:line="240" w:lineRule="auto"/>
        <w:jc w:val="center"/>
      </w:pPr>
      <w:r>
        <w:rPr>
          <w:noProof/>
        </w:rPr>
        <w:drawing>
          <wp:inline distT="0" distB="0" distL="0" distR="0" wp14:anchorId="56FB66FE" wp14:editId="05AAF9B1">
            <wp:extent cx="808858"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449" cy="621874"/>
                    </a:xfrm>
                    <a:prstGeom prst="rect">
                      <a:avLst/>
                    </a:prstGeom>
                    <a:noFill/>
                    <a:ln>
                      <a:noFill/>
                    </a:ln>
                  </pic:spPr>
                </pic:pic>
              </a:graphicData>
            </a:graphic>
          </wp:inline>
        </w:drawing>
      </w:r>
    </w:p>
    <w:p w14:paraId="19EE0178" w14:textId="77777777" w:rsidR="00B546B9" w:rsidRDefault="00B546B9" w:rsidP="00B546B9">
      <w:pPr>
        <w:pStyle w:val="MessageHeader"/>
        <w:keepLines w:val="0"/>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14:paraId="5ABB1AAE" w14:textId="32732F16" w:rsidR="00B546B9" w:rsidRDefault="00997283" w:rsidP="00B546B9">
      <w:pPr>
        <w:jc w:val="center"/>
        <w:rPr>
          <w:rFonts w:ascii="Gill Sans MT" w:hAnsi="Gill Sans MT"/>
          <w:sz w:val="20"/>
          <w:szCs w:val="20"/>
        </w:rPr>
      </w:pPr>
      <w:r w:rsidRPr="00985165">
        <w:rPr>
          <w:rFonts w:ascii="Gill Sans MT" w:hAnsi="Gill Sans MT"/>
        </w:rPr>
        <w:t>1999 Harrison St.</w:t>
      </w:r>
      <w:r w:rsidR="005F62CE" w:rsidRPr="00985165">
        <w:rPr>
          <w:rFonts w:ascii="Gill Sans MT" w:hAnsi="Gill Sans MT"/>
        </w:rPr>
        <w:t xml:space="preserve">, </w:t>
      </w:r>
      <w:r w:rsidR="00B546B9" w:rsidRPr="00985165">
        <w:rPr>
          <w:rFonts w:ascii="Gill Sans MT" w:hAnsi="Gill Sans MT"/>
        </w:rPr>
        <w:t xml:space="preserve">Suite </w:t>
      </w:r>
      <w:r w:rsidRPr="00985165">
        <w:rPr>
          <w:rFonts w:ascii="Gill Sans MT" w:hAnsi="Gill Sans MT"/>
        </w:rPr>
        <w:t>2100</w:t>
      </w:r>
      <w:r w:rsidR="00B546B9" w:rsidRPr="00985165">
        <w:rPr>
          <w:rFonts w:ascii="Gill Sans MT" w:hAnsi="Gill Sans MT"/>
        </w:rPr>
        <w:t xml:space="preserve">, Oakland, CA  </w:t>
      </w:r>
      <w:proofErr w:type="gramStart"/>
      <w:r w:rsidR="00B546B9" w:rsidRPr="00985165">
        <w:rPr>
          <w:rFonts w:ascii="Gill Sans MT" w:hAnsi="Gill Sans MT"/>
        </w:rPr>
        <w:t>94612  (</w:t>
      </w:r>
      <w:proofErr w:type="gramEnd"/>
      <w:r w:rsidR="00B546B9" w:rsidRPr="00985165">
        <w:rPr>
          <w:rFonts w:ascii="Gill Sans MT" w:hAnsi="Gill Sans MT"/>
        </w:rPr>
        <w:t xml:space="preserve">510) 251-9470 • www.cwci.org </w:t>
      </w:r>
    </w:p>
    <w:p w14:paraId="05F6368E" w14:textId="77777777" w:rsidR="008849DA" w:rsidRDefault="008849DA" w:rsidP="00D63410">
      <w:pPr>
        <w:autoSpaceDE w:val="0"/>
        <w:autoSpaceDN w:val="0"/>
        <w:spacing w:after="0" w:line="240" w:lineRule="auto"/>
        <w:rPr>
          <w:rFonts w:ascii="Times New Roman" w:eastAsia="Calibri" w:hAnsi="Times New Roman" w:cs="Times New Roman"/>
          <w:b/>
          <w:bCs/>
          <w:color w:val="000000"/>
          <w:sz w:val="23"/>
          <w:szCs w:val="23"/>
        </w:rPr>
      </w:pPr>
    </w:p>
    <w:p w14:paraId="1F5E6267" w14:textId="5033098F" w:rsidR="008849DA" w:rsidRPr="008849DA" w:rsidRDefault="002667B4" w:rsidP="008849DA">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July 25</w:t>
      </w:r>
      <w:r w:rsidR="00997283">
        <w:rPr>
          <w:rFonts w:ascii="Times New Roman" w:eastAsia="Times New Roman" w:hAnsi="Times New Roman" w:cs="Times New Roman"/>
          <w:color w:val="000000"/>
          <w:sz w:val="24"/>
          <w:szCs w:val="24"/>
        </w:rPr>
        <w:t>, 202</w:t>
      </w:r>
      <w:r w:rsidR="00ED2AAF">
        <w:rPr>
          <w:rFonts w:ascii="Times New Roman" w:eastAsia="Times New Roman" w:hAnsi="Times New Roman" w:cs="Times New Roman"/>
          <w:color w:val="000000"/>
          <w:sz w:val="24"/>
          <w:szCs w:val="24"/>
        </w:rPr>
        <w:t>4</w:t>
      </w:r>
    </w:p>
    <w:p w14:paraId="02F1DBC5" w14:textId="77777777" w:rsidR="008849DA" w:rsidRPr="008849DA" w:rsidRDefault="008849DA" w:rsidP="008849DA">
      <w:pPr>
        <w:autoSpaceDE w:val="0"/>
        <w:autoSpaceDN w:val="0"/>
        <w:spacing w:after="0" w:line="240" w:lineRule="auto"/>
        <w:jc w:val="both"/>
        <w:rPr>
          <w:rFonts w:ascii="Times New Roman" w:eastAsia="Times New Roman" w:hAnsi="Times New Roman" w:cs="Times New Roman"/>
          <w:color w:val="000000"/>
          <w:sz w:val="24"/>
          <w:szCs w:val="24"/>
        </w:rPr>
      </w:pPr>
    </w:p>
    <w:p w14:paraId="1388B996" w14:textId="77777777" w:rsidR="008849DA" w:rsidRPr="008849DA" w:rsidRDefault="008849DA" w:rsidP="008849DA">
      <w:pPr>
        <w:autoSpaceDE w:val="0"/>
        <w:autoSpaceDN w:val="0"/>
        <w:spacing w:after="0" w:line="240" w:lineRule="auto"/>
        <w:jc w:val="both"/>
        <w:rPr>
          <w:rFonts w:ascii="Times New Roman" w:eastAsia="Times New Roman" w:hAnsi="Times New Roman" w:cs="Times New Roman"/>
          <w:color w:val="000000"/>
          <w:sz w:val="24"/>
          <w:szCs w:val="24"/>
        </w:rPr>
      </w:pPr>
    </w:p>
    <w:p w14:paraId="7F4458A0" w14:textId="77777777" w:rsidR="008849DA" w:rsidRPr="008849DA" w:rsidRDefault="008849DA" w:rsidP="008849DA">
      <w:pPr>
        <w:autoSpaceDE w:val="0"/>
        <w:autoSpaceDN w:val="0"/>
        <w:spacing w:after="0" w:line="240" w:lineRule="auto"/>
        <w:jc w:val="both"/>
        <w:rPr>
          <w:rFonts w:ascii="Times New Roman" w:eastAsia="Times New Roman" w:hAnsi="Times New Roman" w:cs="Times New Roman"/>
          <w:color w:val="000000"/>
          <w:sz w:val="24"/>
          <w:szCs w:val="24"/>
          <w:u w:val="single"/>
        </w:rPr>
      </w:pPr>
      <w:r w:rsidRPr="008849DA">
        <w:rPr>
          <w:rFonts w:ascii="Times New Roman" w:eastAsia="Times New Roman" w:hAnsi="Times New Roman" w:cs="Times New Roman"/>
          <w:color w:val="000000"/>
          <w:sz w:val="24"/>
          <w:szCs w:val="24"/>
          <w:u w:val="single"/>
        </w:rPr>
        <w:t xml:space="preserve">VIA E-MAIL – </w:t>
      </w:r>
      <w:r w:rsidRPr="008849DA">
        <w:rPr>
          <w:rFonts w:ascii="Times New Roman" w:eastAsia="Calibri" w:hAnsi="Times New Roman" w:cs="Times New Roman"/>
          <w:color w:val="0563C1"/>
          <w:sz w:val="24"/>
          <w:szCs w:val="24"/>
          <w:u w:val="single"/>
        </w:rPr>
        <w:t>dwcrules@dir.ca.gov</w:t>
      </w:r>
    </w:p>
    <w:p w14:paraId="7C08FE9D" w14:textId="77777777" w:rsidR="008849DA" w:rsidRPr="008849DA" w:rsidRDefault="008849DA" w:rsidP="008849DA">
      <w:pPr>
        <w:autoSpaceDE w:val="0"/>
        <w:autoSpaceDN w:val="0"/>
        <w:spacing w:after="0" w:line="240" w:lineRule="auto"/>
        <w:jc w:val="both"/>
        <w:rPr>
          <w:rFonts w:ascii="Times New Roman" w:eastAsia="Times New Roman" w:hAnsi="Times New Roman" w:cs="Times New Roman"/>
          <w:color w:val="000000"/>
          <w:sz w:val="24"/>
          <w:szCs w:val="24"/>
        </w:rPr>
      </w:pPr>
    </w:p>
    <w:p w14:paraId="001CBD0F" w14:textId="77777777" w:rsidR="008849DA" w:rsidRPr="008849DA" w:rsidRDefault="008849DA" w:rsidP="008849DA">
      <w:pPr>
        <w:autoSpaceDE w:val="0"/>
        <w:autoSpaceDN w:val="0"/>
        <w:spacing w:after="0" w:line="240" w:lineRule="auto"/>
        <w:jc w:val="both"/>
        <w:rPr>
          <w:rFonts w:ascii="Times New Roman" w:eastAsia="Times New Roman" w:hAnsi="Times New Roman" w:cs="Times New Roman"/>
          <w:color w:val="000000"/>
          <w:sz w:val="24"/>
          <w:szCs w:val="24"/>
        </w:rPr>
      </w:pPr>
      <w:r w:rsidRPr="256F3DF0">
        <w:rPr>
          <w:rFonts w:ascii="Times New Roman" w:eastAsia="Times New Roman" w:hAnsi="Times New Roman" w:cs="Times New Roman"/>
          <w:color w:val="000000" w:themeColor="text1"/>
          <w:sz w:val="24"/>
          <w:szCs w:val="24"/>
        </w:rPr>
        <w:t>Maureen Gray, Regulations Coordinator</w:t>
      </w:r>
    </w:p>
    <w:p w14:paraId="03872D17" w14:textId="27881635" w:rsidR="28AEE438" w:rsidRDefault="28AEE438" w:rsidP="256F3DF0">
      <w:pPr>
        <w:spacing w:after="0" w:line="240" w:lineRule="auto"/>
        <w:jc w:val="both"/>
        <w:rPr>
          <w:rFonts w:ascii="Times New Roman" w:eastAsia="Times New Roman" w:hAnsi="Times New Roman" w:cs="Times New Roman"/>
          <w:color w:val="000000" w:themeColor="text1"/>
          <w:sz w:val="24"/>
          <w:szCs w:val="24"/>
        </w:rPr>
      </w:pPr>
      <w:r w:rsidRPr="256F3DF0">
        <w:rPr>
          <w:rFonts w:ascii="Times New Roman" w:eastAsia="Times New Roman" w:hAnsi="Times New Roman" w:cs="Times New Roman"/>
          <w:color w:val="000000" w:themeColor="text1"/>
          <w:sz w:val="24"/>
          <w:szCs w:val="24"/>
        </w:rPr>
        <w:t xml:space="preserve">Department of Industrial Relations </w:t>
      </w:r>
    </w:p>
    <w:p w14:paraId="698D8AD7" w14:textId="712BE95F" w:rsidR="008849DA" w:rsidRPr="008849DA" w:rsidRDefault="008849DA" w:rsidP="008849DA">
      <w:pPr>
        <w:autoSpaceDE w:val="0"/>
        <w:autoSpaceDN w:val="0"/>
        <w:spacing w:after="0" w:line="240" w:lineRule="auto"/>
        <w:jc w:val="both"/>
        <w:rPr>
          <w:rFonts w:ascii="Times New Roman" w:eastAsia="Times New Roman" w:hAnsi="Times New Roman" w:cs="Times New Roman"/>
          <w:color w:val="000000"/>
          <w:sz w:val="24"/>
          <w:szCs w:val="24"/>
        </w:rPr>
      </w:pPr>
      <w:r w:rsidRPr="008849DA">
        <w:rPr>
          <w:rFonts w:ascii="Times New Roman" w:eastAsia="Times New Roman" w:hAnsi="Times New Roman" w:cs="Times New Roman"/>
          <w:color w:val="000000"/>
          <w:sz w:val="24"/>
          <w:szCs w:val="24"/>
        </w:rPr>
        <w:t xml:space="preserve">Division of Workers’ Compensation </w:t>
      </w:r>
    </w:p>
    <w:p w14:paraId="76144241" w14:textId="66D8AC42" w:rsidR="008849DA" w:rsidRPr="008849DA" w:rsidRDefault="004831DF" w:rsidP="008849DA">
      <w:pPr>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 Box 420603</w:t>
      </w:r>
    </w:p>
    <w:p w14:paraId="405F70F0" w14:textId="2434E653" w:rsidR="008849DA" w:rsidRDefault="004831DF" w:rsidP="008849DA">
      <w:pPr>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 Francisco,</w:t>
      </w:r>
      <w:r w:rsidR="008849DA" w:rsidRPr="008849DA">
        <w:rPr>
          <w:rFonts w:ascii="Times New Roman" w:eastAsia="Times New Roman" w:hAnsi="Times New Roman" w:cs="Times New Roman"/>
          <w:color w:val="000000"/>
          <w:sz w:val="24"/>
          <w:szCs w:val="24"/>
        </w:rPr>
        <w:t xml:space="preserve"> CA </w:t>
      </w:r>
      <w:r w:rsidR="005E3018">
        <w:rPr>
          <w:rFonts w:ascii="Times New Roman" w:eastAsia="Times New Roman" w:hAnsi="Times New Roman" w:cs="Times New Roman"/>
          <w:color w:val="000000"/>
          <w:sz w:val="24"/>
          <w:szCs w:val="24"/>
        </w:rPr>
        <w:t>941</w:t>
      </w:r>
      <w:r>
        <w:rPr>
          <w:rFonts w:ascii="Times New Roman" w:eastAsia="Times New Roman" w:hAnsi="Times New Roman" w:cs="Times New Roman"/>
          <w:color w:val="000000"/>
          <w:sz w:val="24"/>
          <w:szCs w:val="24"/>
        </w:rPr>
        <w:t>4</w:t>
      </w:r>
      <w:r w:rsidR="005E3018">
        <w:rPr>
          <w:rFonts w:ascii="Times New Roman" w:eastAsia="Times New Roman" w:hAnsi="Times New Roman" w:cs="Times New Roman"/>
          <w:color w:val="000000"/>
          <w:sz w:val="24"/>
          <w:szCs w:val="24"/>
        </w:rPr>
        <w:t>2</w:t>
      </w:r>
    </w:p>
    <w:p w14:paraId="42B2B358" w14:textId="77777777" w:rsidR="00F42377" w:rsidRPr="008849DA" w:rsidRDefault="00F42377" w:rsidP="008849DA">
      <w:pPr>
        <w:autoSpaceDE w:val="0"/>
        <w:autoSpaceDN w:val="0"/>
        <w:spacing w:after="0" w:line="240" w:lineRule="auto"/>
        <w:jc w:val="both"/>
        <w:rPr>
          <w:rFonts w:ascii="Times New Roman" w:eastAsia="Times New Roman" w:hAnsi="Times New Roman" w:cs="Times New Roman"/>
          <w:color w:val="000000"/>
          <w:sz w:val="24"/>
          <w:szCs w:val="24"/>
        </w:rPr>
      </w:pPr>
    </w:p>
    <w:p w14:paraId="287C6C93" w14:textId="6D92799F" w:rsidR="008849DA" w:rsidRPr="007978A2" w:rsidRDefault="008849DA" w:rsidP="00540502">
      <w:pPr>
        <w:pStyle w:val="NoSpacing"/>
        <w:ind w:left="1260" w:right="720" w:hanging="540"/>
        <w:rPr>
          <w:rFonts w:ascii="Times New Roman" w:eastAsia="Times New Roman" w:hAnsi="Times New Roman" w:cs="Times New Roman"/>
          <w:b/>
          <w:bCs/>
          <w:color w:val="000000"/>
          <w:sz w:val="24"/>
          <w:szCs w:val="24"/>
        </w:rPr>
      </w:pPr>
      <w:r w:rsidRPr="256F3DF0">
        <w:rPr>
          <w:rFonts w:ascii="Times New Roman" w:eastAsia="Times New Roman" w:hAnsi="Times New Roman" w:cs="Times New Roman"/>
          <w:b/>
          <w:bCs/>
          <w:color w:val="000000" w:themeColor="text1"/>
          <w:sz w:val="24"/>
          <w:szCs w:val="24"/>
        </w:rPr>
        <w:t xml:space="preserve">Re:  </w:t>
      </w:r>
      <w:r w:rsidR="00E46A3F" w:rsidRPr="256F3DF0">
        <w:rPr>
          <w:rFonts w:ascii="Times New Roman" w:eastAsia="Times New Roman" w:hAnsi="Times New Roman" w:cs="Times New Roman"/>
          <w:b/>
          <w:bCs/>
          <w:color w:val="000000" w:themeColor="text1"/>
          <w:sz w:val="24"/>
          <w:szCs w:val="24"/>
        </w:rPr>
        <w:t xml:space="preserve">Proposed Amendments to the </w:t>
      </w:r>
      <w:r w:rsidR="002667B4">
        <w:rPr>
          <w:rFonts w:ascii="Times New Roman" w:eastAsia="Times New Roman" w:hAnsi="Times New Roman" w:cs="Times New Roman"/>
          <w:b/>
          <w:bCs/>
          <w:color w:val="000000" w:themeColor="text1"/>
          <w:sz w:val="24"/>
          <w:szCs w:val="24"/>
        </w:rPr>
        <w:t>Utilization Review Regulations</w:t>
      </w:r>
      <w:r w:rsidR="00443FCC" w:rsidRPr="256F3DF0">
        <w:rPr>
          <w:rFonts w:ascii="Times New Roman" w:eastAsia="Times New Roman" w:hAnsi="Times New Roman" w:cs="Times New Roman"/>
          <w:b/>
          <w:bCs/>
          <w:color w:val="000000" w:themeColor="text1"/>
          <w:sz w:val="24"/>
          <w:szCs w:val="24"/>
        </w:rPr>
        <w:t xml:space="preserve"> – </w:t>
      </w:r>
      <w:r w:rsidR="00ED2AAF" w:rsidRPr="256F3DF0">
        <w:rPr>
          <w:rFonts w:ascii="Times New Roman" w:eastAsia="Times New Roman" w:hAnsi="Times New Roman" w:cs="Times New Roman"/>
          <w:b/>
          <w:bCs/>
          <w:color w:val="000000" w:themeColor="text1"/>
          <w:sz w:val="24"/>
          <w:szCs w:val="24"/>
        </w:rPr>
        <w:t>4</w:t>
      </w:r>
      <w:r w:rsidR="004B184A" w:rsidRPr="256F3DF0">
        <w:rPr>
          <w:rFonts w:ascii="Times New Roman" w:eastAsia="Times New Roman" w:hAnsi="Times New Roman" w:cs="Times New Roman"/>
          <w:b/>
          <w:bCs/>
          <w:color w:val="000000" w:themeColor="text1"/>
          <w:sz w:val="24"/>
          <w:szCs w:val="24"/>
        </w:rPr>
        <w:t>5</w:t>
      </w:r>
      <w:r w:rsidR="00ED2AAF" w:rsidRPr="256F3DF0">
        <w:rPr>
          <w:rFonts w:ascii="Times New Roman" w:eastAsia="Times New Roman" w:hAnsi="Times New Roman" w:cs="Times New Roman"/>
          <w:b/>
          <w:bCs/>
          <w:color w:val="000000" w:themeColor="text1"/>
          <w:sz w:val="24"/>
          <w:szCs w:val="24"/>
        </w:rPr>
        <w:t>-</w:t>
      </w:r>
      <w:r w:rsidR="004B184A" w:rsidRPr="256F3DF0">
        <w:rPr>
          <w:rFonts w:ascii="Times New Roman" w:eastAsia="Times New Roman" w:hAnsi="Times New Roman" w:cs="Times New Roman"/>
          <w:b/>
          <w:bCs/>
          <w:color w:val="000000" w:themeColor="text1"/>
          <w:sz w:val="24"/>
          <w:szCs w:val="24"/>
        </w:rPr>
        <w:t xml:space="preserve">Day </w:t>
      </w:r>
      <w:r w:rsidR="008640A4" w:rsidRPr="256F3DF0">
        <w:rPr>
          <w:rFonts w:ascii="Times New Roman" w:eastAsia="Times New Roman" w:hAnsi="Times New Roman" w:cs="Times New Roman"/>
          <w:b/>
          <w:bCs/>
          <w:color w:val="000000" w:themeColor="text1"/>
          <w:sz w:val="24"/>
          <w:szCs w:val="24"/>
        </w:rPr>
        <w:t>Comment Period</w:t>
      </w:r>
    </w:p>
    <w:p w14:paraId="58FA1A38" w14:textId="77777777" w:rsidR="008849DA" w:rsidRPr="007978A2" w:rsidRDefault="008849DA" w:rsidP="007978A2">
      <w:pPr>
        <w:pStyle w:val="NoSpacing"/>
        <w:rPr>
          <w:rFonts w:ascii="Times New Roman" w:eastAsia="Times New Roman" w:hAnsi="Times New Roman" w:cs="Times New Roman"/>
          <w:b/>
          <w:bCs/>
          <w:color w:val="000000"/>
          <w:sz w:val="24"/>
          <w:szCs w:val="24"/>
        </w:rPr>
      </w:pPr>
    </w:p>
    <w:p w14:paraId="0DCCB163" w14:textId="77777777" w:rsidR="008849DA" w:rsidRPr="008849DA" w:rsidRDefault="008849DA" w:rsidP="008849DA">
      <w:pPr>
        <w:tabs>
          <w:tab w:val="left" w:pos="720"/>
        </w:tabs>
        <w:autoSpaceDE w:val="0"/>
        <w:autoSpaceDN w:val="0"/>
        <w:spacing w:after="0" w:line="240" w:lineRule="auto"/>
        <w:rPr>
          <w:rFonts w:ascii="Times New Roman" w:eastAsia="Times New Roman" w:hAnsi="Times New Roman" w:cs="Times New Roman"/>
          <w:color w:val="000000"/>
          <w:sz w:val="24"/>
          <w:szCs w:val="24"/>
        </w:rPr>
      </w:pPr>
      <w:r w:rsidRPr="008849DA">
        <w:rPr>
          <w:rFonts w:ascii="Times New Roman" w:eastAsia="Times New Roman" w:hAnsi="Times New Roman" w:cs="Times New Roman"/>
          <w:color w:val="000000"/>
          <w:sz w:val="24"/>
          <w:szCs w:val="24"/>
        </w:rPr>
        <w:t xml:space="preserve">Dear Ms. Gray:    </w:t>
      </w:r>
    </w:p>
    <w:p w14:paraId="00BDCAAE" w14:textId="77777777" w:rsidR="008849DA" w:rsidRPr="008849DA" w:rsidRDefault="008849DA" w:rsidP="008849DA">
      <w:pPr>
        <w:autoSpaceDE w:val="0"/>
        <w:autoSpaceDN w:val="0"/>
        <w:spacing w:after="0" w:line="240" w:lineRule="auto"/>
        <w:rPr>
          <w:rFonts w:ascii="Times New Roman" w:eastAsia="Times New Roman" w:hAnsi="Times New Roman" w:cs="Times New Roman"/>
          <w:color w:val="000000"/>
          <w:sz w:val="24"/>
          <w:szCs w:val="24"/>
        </w:rPr>
      </w:pPr>
    </w:p>
    <w:p w14:paraId="0C153308" w14:textId="4786B45A" w:rsidR="008849DA" w:rsidRPr="008849DA" w:rsidRDefault="008849DA" w:rsidP="008849DA">
      <w:pPr>
        <w:spacing w:after="0" w:line="240" w:lineRule="auto"/>
        <w:rPr>
          <w:rFonts w:ascii="Times New Roman" w:eastAsia="Calibri" w:hAnsi="Times New Roman" w:cs="Times New Roman"/>
          <w:sz w:val="24"/>
          <w:szCs w:val="24"/>
        </w:rPr>
      </w:pPr>
      <w:r w:rsidRPr="008849DA">
        <w:rPr>
          <w:rFonts w:ascii="Times New Roman" w:eastAsia="Times New Roman" w:hAnsi="Times New Roman" w:cs="Times New Roman"/>
          <w:color w:val="000000"/>
          <w:sz w:val="24"/>
          <w:szCs w:val="24"/>
        </w:rPr>
        <w:t xml:space="preserve">These comments on proposed </w:t>
      </w:r>
      <w:r w:rsidR="00582646">
        <w:rPr>
          <w:rFonts w:ascii="Times New Roman" w:eastAsia="Times New Roman" w:hAnsi="Times New Roman" w:cs="Times New Roman"/>
          <w:color w:val="000000"/>
          <w:sz w:val="24"/>
          <w:szCs w:val="24"/>
        </w:rPr>
        <w:t>modifications</w:t>
      </w:r>
      <w:r w:rsidRPr="008849DA">
        <w:rPr>
          <w:rFonts w:ascii="Times New Roman" w:eastAsia="Times New Roman" w:hAnsi="Times New Roman" w:cs="Times New Roman"/>
          <w:color w:val="000000"/>
          <w:sz w:val="24"/>
          <w:szCs w:val="24"/>
        </w:rPr>
        <w:t xml:space="preserve"> to the </w:t>
      </w:r>
      <w:r w:rsidR="00582646">
        <w:rPr>
          <w:rFonts w:ascii="Times New Roman" w:eastAsia="Times New Roman" w:hAnsi="Times New Roman" w:cs="Times New Roman"/>
          <w:color w:val="000000"/>
          <w:sz w:val="24"/>
          <w:szCs w:val="24"/>
        </w:rPr>
        <w:t xml:space="preserve">text of rules related to the </w:t>
      </w:r>
      <w:r w:rsidR="004831DF">
        <w:rPr>
          <w:rFonts w:ascii="Times New Roman" w:eastAsia="Times New Roman" w:hAnsi="Times New Roman" w:cs="Times New Roman"/>
          <w:color w:val="000000"/>
          <w:sz w:val="24"/>
          <w:szCs w:val="24"/>
        </w:rPr>
        <w:t xml:space="preserve">Utilization Review Regulations </w:t>
      </w:r>
      <w:r w:rsidRPr="008849DA">
        <w:rPr>
          <w:rFonts w:ascii="Times New Roman" w:eastAsia="Times New Roman" w:hAnsi="Times New Roman" w:cs="Times New Roman"/>
          <w:color w:val="000000"/>
          <w:sz w:val="24"/>
          <w:szCs w:val="24"/>
        </w:rPr>
        <w:t xml:space="preserve">are presented on </w:t>
      </w:r>
      <w:r w:rsidRPr="002E325A">
        <w:rPr>
          <w:rFonts w:ascii="Times New Roman" w:eastAsia="Times New Roman" w:hAnsi="Times New Roman" w:cs="Times New Roman"/>
          <w:color w:val="000000"/>
          <w:sz w:val="24"/>
          <w:szCs w:val="24"/>
        </w:rPr>
        <w:t xml:space="preserve">behalf of members of the California Workers’ Compensation Institute (the Institute).  </w:t>
      </w:r>
      <w:bookmarkStart w:id="0" w:name="_Hlk80357028"/>
      <w:r w:rsidRPr="002E325A">
        <w:rPr>
          <w:rFonts w:ascii="Times New Roman" w:eastAsia="Times New Roman" w:hAnsi="Times New Roman" w:cs="Times New Roman"/>
          <w:color w:val="000000"/>
          <w:sz w:val="24"/>
          <w:szCs w:val="24"/>
        </w:rPr>
        <w:t xml:space="preserve">Institute </w:t>
      </w:r>
      <w:r w:rsidRPr="002E325A">
        <w:rPr>
          <w:rFonts w:ascii="Times New Roman" w:eastAsia="Times New Roman" w:hAnsi="Times New Roman" w:cs="Times New Roman"/>
          <w:sz w:val="24"/>
          <w:szCs w:val="24"/>
        </w:rPr>
        <w:t xml:space="preserve">members include insurers </w:t>
      </w:r>
      <w:r w:rsidRPr="002C28E5">
        <w:rPr>
          <w:rFonts w:ascii="Times New Roman" w:eastAsia="Times New Roman" w:hAnsi="Times New Roman" w:cs="Times New Roman"/>
          <w:sz w:val="24"/>
          <w:szCs w:val="24"/>
        </w:rPr>
        <w:t xml:space="preserve">writing </w:t>
      </w:r>
      <w:r w:rsidR="008311EB" w:rsidRPr="00C86310">
        <w:rPr>
          <w:rFonts w:ascii="Times New Roman" w:eastAsia="Times New Roman" w:hAnsi="Times New Roman" w:cs="Times New Roman"/>
          <w:sz w:val="24"/>
          <w:szCs w:val="24"/>
        </w:rPr>
        <w:t>7</w:t>
      </w:r>
      <w:r w:rsidR="00026A9A" w:rsidRPr="00C86310">
        <w:rPr>
          <w:rFonts w:ascii="Times New Roman" w:eastAsia="Times New Roman" w:hAnsi="Times New Roman" w:cs="Times New Roman"/>
          <w:sz w:val="24"/>
          <w:szCs w:val="24"/>
        </w:rPr>
        <w:t>6</w:t>
      </w:r>
      <w:r w:rsidRPr="00C86310">
        <w:rPr>
          <w:rFonts w:ascii="Times New Roman" w:eastAsia="Times New Roman" w:hAnsi="Times New Roman" w:cs="Times New Roman"/>
          <w:sz w:val="24"/>
          <w:szCs w:val="24"/>
        </w:rPr>
        <w:t xml:space="preserve">% of California’s workers’ compensation premium, </w:t>
      </w:r>
      <w:r w:rsidRPr="00C86310">
        <w:rPr>
          <w:rFonts w:ascii="Times New Roman" w:eastAsia="Calibri" w:hAnsi="Times New Roman" w:cs="Times New Roman"/>
          <w:sz w:val="24"/>
          <w:szCs w:val="24"/>
        </w:rPr>
        <w:t>and self-insured employers with $</w:t>
      </w:r>
      <w:r w:rsidR="00C86310" w:rsidRPr="00C86310">
        <w:rPr>
          <w:rFonts w:ascii="Times New Roman" w:eastAsia="Calibri" w:hAnsi="Times New Roman" w:cs="Times New Roman"/>
          <w:sz w:val="24"/>
          <w:szCs w:val="24"/>
        </w:rPr>
        <w:t>9</w:t>
      </w:r>
      <w:r w:rsidR="005C487C">
        <w:rPr>
          <w:rFonts w:ascii="Times New Roman" w:eastAsia="Calibri" w:hAnsi="Times New Roman" w:cs="Times New Roman"/>
          <w:sz w:val="24"/>
          <w:szCs w:val="24"/>
        </w:rPr>
        <w:t>2</w:t>
      </w:r>
      <w:r w:rsidRPr="00C86310">
        <w:rPr>
          <w:rFonts w:ascii="Times New Roman" w:eastAsia="Calibri" w:hAnsi="Times New Roman" w:cs="Times New Roman"/>
          <w:sz w:val="24"/>
          <w:szCs w:val="24"/>
        </w:rPr>
        <w:t>B of annual payroll (3</w:t>
      </w:r>
      <w:r w:rsidR="005C487C">
        <w:rPr>
          <w:rFonts w:ascii="Times New Roman" w:eastAsia="Calibri" w:hAnsi="Times New Roman" w:cs="Times New Roman"/>
          <w:sz w:val="24"/>
          <w:szCs w:val="24"/>
        </w:rPr>
        <w:t>0</w:t>
      </w:r>
      <w:r w:rsidRPr="00C86310">
        <w:rPr>
          <w:rFonts w:ascii="Times New Roman" w:eastAsia="Calibri" w:hAnsi="Times New Roman" w:cs="Times New Roman"/>
          <w:sz w:val="24"/>
          <w:szCs w:val="24"/>
        </w:rPr>
        <w:t>.</w:t>
      </w:r>
      <w:r w:rsidR="005C487C">
        <w:rPr>
          <w:rFonts w:ascii="Times New Roman" w:eastAsia="Calibri" w:hAnsi="Times New Roman" w:cs="Times New Roman"/>
          <w:sz w:val="24"/>
          <w:szCs w:val="24"/>
        </w:rPr>
        <w:t>4</w:t>
      </w:r>
      <w:r w:rsidR="00EA1877" w:rsidRPr="00C86310">
        <w:rPr>
          <w:rFonts w:ascii="Times New Roman" w:eastAsia="Calibri" w:hAnsi="Times New Roman" w:cs="Times New Roman"/>
          <w:sz w:val="24"/>
          <w:szCs w:val="24"/>
        </w:rPr>
        <w:t>%</w:t>
      </w:r>
      <w:r w:rsidRPr="00C86310">
        <w:rPr>
          <w:rFonts w:ascii="Times New Roman" w:eastAsia="Calibri" w:hAnsi="Times New Roman" w:cs="Times New Roman"/>
          <w:sz w:val="24"/>
          <w:szCs w:val="24"/>
        </w:rPr>
        <w:t xml:space="preserve"> of the state’s total annual self-insured payroll).</w:t>
      </w:r>
      <w:bookmarkEnd w:id="0"/>
      <w:r w:rsidR="002E325A">
        <w:rPr>
          <w:rFonts w:ascii="Times New Roman" w:eastAsia="Calibri" w:hAnsi="Times New Roman" w:cs="Times New Roman"/>
          <w:sz w:val="24"/>
          <w:szCs w:val="24"/>
        </w:rPr>
        <w:t xml:space="preserve">   </w:t>
      </w:r>
    </w:p>
    <w:p w14:paraId="245367C4" w14:textId="77777777" w:rsidR="008849DA" w:rsidRPr="008849DA" w:rsidRDefault="008849DA" w:rsidP="008849DA">
      <w:pPr>
        <w:spacing w:after="0" w:line="240" w:lineRule="auto"/>
        <w:rPr>
          <w:rFonts w:ascii="Times New Roman" w:eastAsia="Times New Roman" w:hAnsi="Times New Roman" w:cs="Times New Roman"/>
          <w:color w:val="000000"/>
          <w:sz w:val="24"/>
          <w:szCs w:val="24"/>
        </w:rPr>
      </w:pPr>
    </w:p>
    <w:p w14:paraId="2EC08F7A" w14:textId="334955E4" w:rsidR="008849DA" w:rsidRPr="008849DA" w:rsidRDefault="008849DA" w:rsidP="008849DA">
      <w:pPr>
        <w:tabs>
          <w:tab w:val="left" w:pos="900"/>
        </w:tabs>
        <w:spacing w:after="0" w:line="240" w:lineRule="auto"/>
        <w:rPr>
          <w:rFonts w:ascii="Times New Roman" w:eastAsia="Times New Roman" w:hAnsi="Times New Roman" w:cs="Times New Roman"/>
          <w:sz w:val="24"/>
          <w:szCs w:val="24"/>
        </w:rPr>
      </w:pPr>
      <w:r w:rsidRPr="256F3DF0">
        <w:rPr>
          <w:rFonts w:ascii="Times New Roman" w:eastAsia="Times New Roman" w:hAnsi="Times New Roman" w:cs="Times New Roman"/>
          <w:sz w:val="24"/>
          <w:szCs w:val="24"/>
        </w:rPr>
        <w:t xml:space="preserve">Insurer members of the Institute include </w:t>
      </w:r>
      <w:r w:rsidR="002C28E5" w:rsidRPr="256F3DF0">
        <w:rPr>
          <w:rFonts w:ascii="Times New Roman" w:eastAsia="Times New Roman" w:hAnsi="Times New Roman" w:cs="Times New Roman"/>
          <w:sz w:val="24"/>
          <w:szCs w:val="24"/>
        </w:rPr>
        <w:t>AF Group/</w:t>
      </w:r>
      <w:proofErr w:type="spellStart"/>
      <w:r w:rsidR="002C28E5" w:rsidRPr="256F3DF0">
        <w:rPr>
          <w:rFonts w:ascii="Times New Roman" w:eastAsia="Times New Roman" w:hAnsi="Times New Roman" w:cs="Times New Roman"/>
          <w:sz w:val="24"/>
          <w:szCs w:val="24"/>
        </w:rPr>
        <w:t>CompWest</w:t>
      </w:r>
      <w:proofErr w:type="spellEnd"/>
      <w:r w:rsidR="002C28E5" w:rsidRPr="256F3DF0">
        <w:rPr>
          <w:rFonts w:ascii="Times New Roman" w:eastAsia="Times New Roman" w:hAnsi="Times New Roman" w:cs="Times New Roman"/>
          <w:sz w:val="24"/>
          <w:szCs w:val="24"/>
        </w:rPr>
        <w:t xml:space="preserve">, </w:t>
      </w:r>
      <w:r w:rsidRPr="256F3DF0">
        <w:rPr>
          <w:rFonts w:ascii="Times New Roman" w:eastAsia="Times New Roman" w:hAnsi="Times New Roman" w:cs="Times New Roman"/>
          <w:sz w:val="24"/>
          <w:szCs w:val="24"/>
        </w:rPr>
        <w:t>AIG, Allianz Global Corporate and Specialty, AmTrust North America, Berkshire Hathaway</w:t>
      </w:r>
      <w:r w:rsidR="2933165A" w:rsidRPr="256F3DF0">
        <w:rPr>
          <w:rFonts w:ascii="Times New Roman" w:eastAsia="Times New Roman" w:hAnsi="Times New Roman" w:cs="Times New Roman"/>
          <w:sz w:val="24"/>
          <w:szCs w:val="24"/>
        </w:rPr>
        <w:t xml:space="preserve"> </w:t>
      </w:r>
      <w:proofErr w:type="spellStart"/>
      <w:r w:rsidR="2933165A" w:rsidRPr="256F3DF0">
        <w:rPr>
          <w:rFonts w:ascii="Times New Roman" w:eastAsia="Times New Roman" w:hAnsi="Times New Roman" w:cs="Times New Roman"/>
          <w:sz w:val="24"/>
          <w:szCs w:val="24"/>
        </w:rPr>
        <w:t>Homestate</w:t>
      </w:r>
      <w:proofErr w:type="spellEnd"/>
      <w:r w:rsidR="2933165A" w:rsidRPr="256F3DF0">
        <w:rPr>
          <w:rFonts w:ascii="Times New Roman" w:eastAsia="Times New Roman" w:hAnsi="Times New Roman" w:cs="Times New Roman"/>
          <w:sz w:val="24"/>
          <w:szCs w:val="24"/>
        </w:rPr>
        <w:t xml:space="preserve"> Companies</w:t>
      </w:r>
      <w:r w:rsidRPr="256F3DF0">
        <w:rPr>
          <w:rFonts w:ascii="Times New Roman" w:eastAsia="Times New Roman" w:hAnsi="Times New Roman" w:cs="Times New Roman"/>
          <w:sz w:val="24"/>
          <w:szCs w:val="24"/>
        </w:rPr>
        <w:t>, CHUBB, CNA, CopperPoint Insurance Companies, Crum &amp; Forster, EMPLOYERS, Everest</w:t>
      </w:r>
      <w:r w:rsidR="002C28E5" w:rsidRPr="256F3DF0">
        <w:rPr>
          <w:rFonts w:ascii="Times New Roman" w:eastAsia="Times New Roman" w:hAnsi="Times New Roman" w:cs="Times New Roman"/>
          <w:sz w:val="24"/>
          <w:szCs w:val="24"/>
        </w:rPr>
        <w:t xml:space="preserve"> </w:t>
      </w:r>
      <w:r w:rsidRPr="256F3DF0">
        <w:rPr>
          <w:rFonts w:ascii="Times New Roman" w:eastAsia="Times New Roman" w:hAnsi="Times New Roman" w:cs="Times New Roman"/>
          <w:sz w:val="24"/>
          <w:szCs w:val="24"/>
        </w:rPr>
        <w:t xml:space="preserve">Insurance, GUARD Insurance Companies, The Hanover Insurance </w:t>
      </w:r>
      <w:r w:rsidR="34381147" w:rsidRPr="256F3DF0">
        <w:rPr>
          <w:rFonts w:ascii="Times New Roman" w:eastAsia="Times New Roman" w:hAnsi="Times New Roman" w:cs="Times New Roman"/>
          <w:sz w:val="24"/>
          <w:szCs w:val="24"/>
        </w:rPr>
        <w:t>Group</w:t>
      </w:r>
      <w:r w:rsidRPr="256F3DF0">
        <w:rPr>
          <w:rFonts w:ascii="Times New Roman" w:eastAsia="Times New Roman" w:hAnsi="Times New Roman" w:cs="Times New Roman"/>
          <w:sz w:val="24"/>
          <w:szCs w:val="24"/>
        </w:rPr>
        <w:t>, The Hartford, ICW Group, Liberty Mutual Insurance, North American Casualty Company, Preferred Employers Insurance, Republic Indemnity Company of America, Sentry Insurance, State Compensation Insurance Fund, Travelers, WCF Insurance, Zenith Insurance</w:t>
      </w:r>
      <w:r w:rsidR="00026A9A" w:rsidRPr="256F3DF0">
        <w:rPr>
          <w:rFonts w:ascii="Times New Roman" w:eastAsia="Times New Roman" w:hAnsi="Times New Roman" w:cs="Times New Roman"/>
          <w:sz w:val="24"/>
          <w:szCs w:val="24"/>
        </w:rPr>
        <w:t xml:space="preserve"> Company</w:t>
      </w:r>
      <w:r w:rsidRPr="256F3DF0">
        <w:rPr>
          <w:rFonts w:ascii="Times New Roman" w:eastAsia="Times New Roman" w:hAnsi="Times New Roman" w:cs="Times New Roman"/>
          <w:sz w:val="24"/>
          <w:szCs w:val="24"/>
        </w:rPr>
        <w:t>, and Zürich North America.</w:t>
      </w:r>
    </w:p>
    <w:p w14:paraId="2C4CFF2B" w14:textId="77777777" w:rsidR="008849DA" w:rsidRPr="008849DA" w:rsidRDefault="008849DA" w:rsidP="008849DA">
      <w:pPr>
        <w:tabs>
          <w:tab w:val="left" w:pos="900"/>
        </w:tabs>
        <w:spacing w:after="0" w:line="240" w:lineRule="auto"/>
        <w:rPr>
          <w:rFonts w:ascii="Times New Roman" w:eastAsia="Times New Roman" w:hAnsi="Times New Roman" w:cs="Times New Roman"/>
          <w:sz w:val="24"/>
          <w:szCs w:val="24"/>
        </w:rPr>
      </w:pPr>
    </w:p>
    <w:p w14:paraId="20E5ED87" w14:textId="15C1CB19" w:rsidR="008849DA" w:rsidRDefault="008849DA" w:rsidP="008849DA">
      <w:pPr>
        <w:tabs>
          <w:tab w:val="left" w:pos="900"/>
        </w:tabs>
        <w:spacing w:after="0" w:line="240" w:lineRule="auto"/>
        <w:rPr>
          <w:rFonts w:ascii="Times New Roman" w:eastAsia="Times New Roman" w:hAnsi="Times New Roman" w:cs="Times New Roman"/>
          <w:sz w:val="24"/>
          <w:szCs w:val="24"/>
        </w:rPr>
      </w:pPr>
      <w:r w:rsidRPr="256F3DF0">
        <w:rPr>
          <w:rFonts w:ascii="Times New Roman" w:eastAsia="Times New Roman" w:hAnsi="Times New Roman" w:cs="Times New Roman"/>
          <w:sz w:val="24"/>
          <w:szCs w:val="24"/>
        </w:rPr>
        <w:t>Self-insured employer members include Albertsons</w:t>
      </w:r>
      <w:r w:rsidR="004831DF">
        <w:rPr>
          <w:rFonts w:ascii="Times New Roman" w:eastAsia="Times New Roman" w:hAnsi="Times New Roman" w:cs="Times New Roman"/>
          <w:sz w:val="24"/>
          <w:szCs w:val="24"/>
        </w:rPr>
        <w:t xml:space="preserve"> Companies</w:t>
      </w:r>
      <w:r w:rsidRPr="256F3DF0">
        <w:rPr>
          <w:rFonts w:ascii="Times New Roman" w:eastAsia="Times New Roman" w:hAnsi="Times New Roman" w:cs="Times New Roman"/>
          <w:sz w:val="24"/>
          <w:szCs w:val="24"/>
        </w:rPr>
        <w:t xml:space="preserve">, </w:t>
      </w:r>
      <w:r w:rsidR="005F62CE" w:rsidRPr="256F3DF0">
        <w:rPr>
          <w:rFonts w:ascii="Times New Roman" w:eastAsia="Times New Roman" w:hAnsi="Times New Roman" w:cs="Times New Roman"/>
          <w:sz w:val="24"/>
          <w:szCs w:val="24"/>
        </w:rPr>
        <w:t xml:space="preserve">Alliance of Schools for Cooperative Insurance Programs, </w:t>
      </w:r>
      <w:r w:rsidRPr="256F3DF0">
        <w:rPr>
          <w:rFonts w:ascii="Times New Roman" w:eastAsia="Times New Roman" w:hAnsi="Times New Roman" w:cs="Times New Roman"/>
          <w:sz w:val="24"/>
          <w:szCs w:val="24"/>
        </w:rPr>
        <w:t xml:space="preserve">BETA Healthcare Group, </w:t>
      </w:r>
      <w:r w:rsidR="00582646" w:rsidRPr="256F3DF0">
        <w:rPr>
          <w:rFonts w:ascii="Times New Roman" w:eastAsia="Times New Roman" w:hAnsi="Times New Roman" w:cs="Times New Roman"/>
          <w:sz w:val="24"/>
          <w:szCs w:val="24"/>
        </w:rPr>
        <w:t xml:space="preserve">California Fair Services Authority, </w:t>
      </w:r>
      <w:r w:rsidRPr="256F3DF0">
        <w:rPr>
          <w:rFonts w:ascii="Times New Roman" w:eastAsia="Times New Roman" w:hAnsi="Times New Roman" w:cs="Times New Roman"/>
          <w:sz w:val="24"/>
          <w:szCs w:val="24"/>
        </w:rPr>
        <w:t xml:space="preserve">California Joint Powers Insurance Authority, California State University Risk Management Authority, Chevron Corporation, City and County of San Francisco, City of Los Angeles, City of Pasadena, Costco Wholesale, County of Los Angeles, County of Santa Clara Risk Management, Dignity Health, Disneyland Resort, East Bay Municipal Utility District, Grimmway Farms, Kaiser Permanente, North Bay Schools Insurance Authority, Pacific Gas &amp; Electric Company, </w:t>
      </w:r>
      <w:r w:rsidR="005F62CE" w:rsidRPr="256F3DF0">
        <w:rPr>
          <w:rFonts w:ascii="Times New Roman" w:eastAsia="Times New Roman" w:hAnsi="Times New Roman" w:cs="Times New Roman"/>
          <w:sz w:val="24"/>
          <w:szCs w:val="24"/>
        </w:rPr>
        <w:t xml:space="preserve">San Diego Gas &amp; Electric Company, </w:t>
      </w:r>
      <w:r w:rsidRPr="256F3DF0">
        <w:rPr>
          <w:rFonts w:ascii="Times New Roman" w:eastAsia="Times New Roman" w:hAnsi="Times New Roman" w:cs="Times New Roman"/>
          <w:sz w:val="24"/>
          <w:szCs w:val="24"/>
        </w:rPr>
        <w:t xml:space="preserve">Schools Insurance Authority, Shasta County Risk Management, Shasta-Trinity Schools Insurance Group, Southern California Edison, </w:t>
      </w:r>
      <w:r w:rsidR="005F62CE" w:rsidRPr="256F3DF0">
        <w:rPr>
          <w:rFonts w:ascii="Times New Roman" w:eastAsia="Times New Roman" w:hAnsi="Times New Roman" w:cs="Times New Roman"/>
          <w:sz w:val="24"/>
          <w:szCs w:val="24"/>
        </w:rPr>
        <w:t xml:space="preserve">Southern California Gas Company, </w:t>
      </w:r>
      <w:r w:rsidRPr="256F3DF0">
        <w:rPr>
          <w:rFonts w:ascii="Times New Roman" w:eastAsia="Times New Roman" w:hAnsi="Times New Roman" w:cs="Times New Roman"/>
          <w:sz w:val="24"/>
          <w:szCs w:val="24"/>
        </w:rPr>
        <w:t xml:space="preserve">Special District Risk Management Authority, Sutter Health, United Airlines, and the University of California. </w:t>
      </w:r>
    </w:p>
    <w:p w14:paraId="0B0FAF93" w14:textId="73CF645B" w:rsidR="00184896" w:rsidRDefault="00184896" w:rsidP="00216855">
      <w:pPr>
        <w:tabs>
          <w:tab w:val="left" w:pos="900"/>
        </w:tabs>
        <w:spacing w:after="0" w:line="240" w:lineRule="auto"/>
        <w:rPr>
          <w:rFonts w:ascii="Times New Roman" w:eastAsia="Calibri" w:hAnsi="Times New Roman" w:cs="Times New Roman"/>
          <w:sz w:val="24"/>
          <w:szCs w:val="24"/>
        </w:rPr>
      </w:pPr>
    </w:p>
    <w:p w14:paraId="5E746475" w14:textId="716B5844" w:rsidR="00871A3A" w:rsidRDefault="00871A3A" w:rsidP="00871A3A">
      <w:pPr>
        <w:tabs>
          <w:tab w:val="left" w:pos="900"/>
        </w:tabs>
        <w:spacing w:after="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Recommended revisions to the proposed regulations are indicated by</w:t>
      </w:r>
      <w:r w:rsidR="007415CD">
        <w:rPr>
          <w:rFonts w:ascii="Times New Roman" w:eastAsia="Calibri" w:hAnsi="Times New Roman" w:cs="Times New Roman"/>
          <w:sz w:val="24"/>
          <w:szCs w:val="24"/>
        </w:rPr>
        <w:t xml:space="preserve"> </w:t>
      </w:r>
      <w:r w:rsidRPr="000752CB">
        <w:rPr>
          <w:rFonts w:ascii="Times New Roman" w:eastAsia="Calibri" w:hAnsi="Times New Roman" w:cs="Times New Roman"/>
          <w:sz w:val="24"/>
          <w:szCs w:val="24"/>
          <w:highlight w:val="yellow"/>
          <w:u w:val="single"/>
        </w:rPr>
        <w:t>underscore</w:t>
      </w:r>
      <w:r w:rsidRPr="000752CB">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 xml:space="preserve">and </w:t>
      </w:r>
      <w:r w:rsidRPr="000752CB">
        <w:rPr>
          <w:rFonts w:ascii="Times New Roman" w:eastAsia="Calibri" w:hAnsi="Times New Roman" w:cs="Times New Roman"/>
          <w:strike/>
          <w:sz w:val="24"/>
          <w:szCs w:val="24"/>
          <w:highlight w:val="yellow"/>
        </w:rPr>
        <w:t>strikeout</w:t>
      </w:r>
      <w:r>
        <w:rPr>
          <w:rFonts w:ascii="Times New Roman" w:eastAsia="Calibri" w:hAnsi="Times New Roman" w:cs="Times New Roman"/>
          <w:sz w:val="24"/>
          <w:szCs w:val="24"/>
        </w:rPr>
        <w:t>.  Comments and discussion by the Institute are identified by italicized text.</w:t>
      </w:r>
    </w:p>
    <w:p w14:paraId="75F3F5B8" w14:textId="77777777" w:rsidR="00871A3A" w:rsidRDefault="00871A3A" w:rsidP="00216855">
      <w:pPr>
        <w:tabs>
          <w:tab w:val="left" w:pos="900"/>
        </w:tabs>
        <w:spacing w:after="0" w:line="240" w:lineRule="auto"/>
        <w:rPr>
          <w:rFonts w:ascii="Times New Roman" w:eastAsia="Calibri" w:hAnsi="Times New Roman" w:cs="Times New Roman"/>
          <w:sz w:val="24"/>
          <w:szCs w:val="24"/>
        </w:rPr>
      </w:pPr>
    </w:p>
    <w:p w14:paraId="7649DB9C" w14:textId="57FBE7AE" w:rsidR="00184896" w:rsidRDefault="00E46A3F" w:rsidP="00216855">
      <w:pPr>
        <w:tabs>
          <w:tab w:val="left" w:pos="9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Institute offers the following comments:</w:t>
      </w:r>
    </w:p>
    <w:p w14:paraId="0FC6E2CA" w14:textId="77777777" w:rsidR="00BF2931" w:rsidRDefault="00BF2931" w:rsidP="00216855">
      <w:pPr>
        <w:tabs>
          <w:tab w:val="left" w:pos="900"/>
        </w:tabs>
        <w:spacing w:after="0" w:line="240" w:lineRule="auto"/>
        <w:rPr>
          <w:rFonts w:ascii="Times New Roman" w:eastAsia="Calibri" w:hAnsi="Times New Roman" w:cs="Times New Roman"/>
          <w:sz w:val="24"/>
          <w:szCs w:val="24"/>
        </w:rPr>
      </w:pPr>
    </w:p>
    <w:p w14:paraId="4A08FD23" w14:textId="07E2310B" w:rsidR="00BF2931" w:rsidRDefault="00BF2931" w:rsidP="00BF2931">
      <w:pPr>
        <w:spacing w:after="240"/>
        <w:rPr>
          <w:rFonts w:ascii="Times New Roman" w:eastAsia="Times New Roman" w:hAnsi="Times New Roman" w:cs="Times New Roman"/>
          <w:b/>
          <w:bCs/>
          <w:color w:val="000000"/>
          <w:sz w:val="24"/>
          <w:szCs w:val="24"/>
          <w:u w:val="single"/>
        </w:rPr>
      </w:pPr>
      <w:r w:rsidRPr="00BF2931">
        <w:rPr>
          <w:rFonts w:ascii="Times New Roman" w:hAnsi="Times New Roman" w:cs="Times New Roman"/>
          <w:b/>
          <w:bCs/>
          <w:sz w:val="24"/>
          <w:szCs w:val="24"/>
        </w:rPr>
        <w:t xml:space="preserve">§9785.6. </w:t>
      </w:r>
      <w:r w:rsidR="004831DF">
        <w:rPr>
          <w:rFonts w:ascii="Times New Roman" w:hAnsi="Times New Roman" w:cs="Times New Roman"/>
          <w:b/>
          <w:bCs/>
          <w:sz w:val="24"/>
          <w:szCs w:val="24"/>
        </w:rPr>
        <w:t xml:space="preserve"> </w:t>
      </w:r>
      <w:r w:rsidRPr="00BF2931">
        <w:rPr>
          <w:rFonts w:ascii="Times New Roman" w:hAnsi="Times New Roman" w:cs="Times New Roman"/>
          <w:b/>
          <w:bCs/>
          <w:sz w:val="24"/>
          <w:szCs w:val="24"/>
        </w:rPr>
        <w:t xml:space="preserve">DWC Form PR-1: "Treating Physician's Report" – Mandatory for Services </w:t>
      </w:r>
      <w:proofErr w:type="gramStart"/>
      <w:r w:rsidRPr="00BF2931">
        <w:rPr>
          <w:rFonts w:ascii="Times New Roman" w:hAnsi="Times New Roman" w:cs="Times New Roman"/>
          <w:b/>
          <w:bCs/>
          <w:sz w:val="24"/>
          <w:szCs w:val="24"/>
        </w:rPr>
        <w:t>On</w:t>
      </w:r>
      <w:proofErr w:type="gramEnd"/>
      <w:r w:rsidRPr="00BF2931">
        <w:rPr>
          <w:rFonts w:ascii="Times New Roman" w:hAnsi="Times New Roman" w:cs="Times New Roman"/>
          <w:b/>
          <w:bCs/>
          <w:sz w:val="24"/>
          <w:szCs w:val="24"/>
        </w:rPr>
        <w:t xml:space="preserve"> or After </w:t>
      </w:r>
      <w:r w:rsidRPr="00BF2931">
        <w:rPr>
          <w:rFonts w:ascii="Times New Roman" w:hAnsi="Times New Roman" w:cs="Times New Roman"/>
          <w:b/>
          <w:bCs/>
          <w:strike/>
          <w:sz w:val="24"/>
          <w:szCs w:val="24"/>
        </w:rPr>
        <w:t>July 1, 2021.</w:t>
      </w:r>
      <w:r>
        <w:rPr>
          <w:rFonts w:ascii="Times New Roman" w:hAnsi="Times New Roman" w:cs="Times New Roman"/>
          <w:b/>
          <w:bCs/>
          <w:sz w:val="24"/>
          <w:szCs w:val="24"/>
        </w:rPr>
        <w:t xml:space="preserve"> </w:t>
      </w:r>
      <w:r w:rsidRPr="00BF2931">
        <w:rPr>
          <w:rFonts w:ascii="Times New Roman" w:eastAsia="Times New Roman" w:hAnsi="Times New Roman" w:cs="Times New Roman"/>
          <w:b/>
          <w:bCs/>
          <w:color w:val="000000"/>
          <w:sz w:val="24"/>
          <w:szCs w:val="24"/>
          <w:u w:val="single"/>
        </w:rPr>
        <w:t>(SIX MONTHS AFTER EFFECTIVE DATE OF REGULATION)</w:t>
      </w:r>
      <w:r>
        <w:rPr>
          <w:rFonts w:ascii="Times New Roman" w:eastAsia="Times New Roman" w:hAnsi="Times New Roman" w:cs="Times New Roman"/>
          <w:b/>
          <w:bCs/>
          <w:color w:val="000000"/>
          <w:sz w:val="24"/>
          <w:szCs w:val="24"/>
          <w:u w:val="single"/>
        </w:rPr>
        <w:t>.</w:t>
      </w:r>
    </w:p>
    <w:p w14:paraId="7F5974FC" w14:textId="77777777" w:rsidR="002B655C" w:rsidRPr="002B655C" w:rsidRDefault="002B655C" w:rsidP="002B655C">
      <w:pPr>
        <w:spacing w:after="240"/>
        <w:rPr>
          <w:rFonts w:ascii="Times New Roman" w:hAnsi="Times New Roman" w:cs="Times New Roman"/>
          <w:sz w:val="24"/>
          <w:szCs w:val="24"/>
        </w:rPr>
      </w:pPr>
      <w:r w:rsidRPr="002B655C">
        <w:rPr>
          <w:rFonts w:ascii="Times New Roman" w:hAnsi="Times New Roman" w:cs="Times New Roman"/>
          <w:sz w:val="24"/>
          <w:szCs w:val="24"/>
        </w:rPr>
        <w:t>Treating Physician's Report (DWC Form PR-1).</w:t>
      </w:r>
    </w:p>
    <w:p w14:paraId="593A68FC" w14:textId="1CB21408" w:rsidR="002B655C" w:rsidRDefault="00823ED2" w:rsidP="002B655C">
      <w:pPr>
        <w:tabs>
          <w:tab w:val="left" w:pos="1800"/>
          <w:tab w:val="left" w:pos="4140"/>
          <w:tab w:val="left" w:pos="6210"/>
          <w:tab w:val="left" w:pos="8640"/>
        </w:tabs>
        <w:rPr>
          <w:strike/>
          <w:sz w:val="24"/>
          <w:szCs w:val="24"/>
        </w:rPr>
      </w:pPr>
      <w:sdt>
        <w:sdtPr>
          <w:rPr>
            <w:strike/>
            <w:sz w:val="24"/>
            <w:szCs w:val="24"/>
          </w:rPr>
          <w:id w:val="386527480"/>
          <w14:checkbox>
            <w14:checked w14:val="1"/>
            <w14:checkedState w14:val="2612" w14:font="MS Gothic"/>
            <w14:uncheckedState w14:val="2610" w14:font="MS Gothic"/>
          </w14:checkbox>
        </w:sdtPr>
        <w:sdtEndPr/>
        <w:sdtContent>
          <w:r w:rsidR="002B655C" w:rsidRPr="002B655C">
            <w:rPr>
              <w:rFonts w:ascii="MS Gothic" w:eastAsia="MS Gothic" w:hAnsi="MS Gothic" w:hint="eastAsia"/>
              <w:strike/>
              <w:sz w:val="24"/>
              <w:szCs w:val="24"/>
            </w:rPr>
            <w:t>☒</w:t>
          </w:r>
        </w:sdtContent>
      </w:sdt>
      <w:r w:rsidR="002B655C" w:rsidRPr="002B655C">
        <w:rPr>
          <w:strike/>
          <w:sz w:val="24"/>
          <w:szCs w:val="24"/>
        </w:rPr>
        <w:t>Response to RFI, as included in:</w:t>
      </w:r>
      <w:r w:rsidR="002B655C" w:rsidRPr="002B655C">
        <w:rPr>
          <w:strike/>
          <w:sz w:val="24"/>
          <w:szCs w:val="24"/>
        </w:rPr>
        <w:tab/>
      </w:r>
      <w:sdt>
        <w:sdtPr>
          <w:rPr>
            <w:strike/>
            <w:sz w:val="24"/>
            <w:szCs w:val="24"/>
          </w:rPr>
          <w:id w:val="-475916456"/>
          <w14:checkbox>
            <w14:checked w14:val="0"/>
            <w14:checkedState w14:val="2612" w14:font="MS Gothic"/>
            <w14:uncheckedState w14:val="2610" w14:font="MS Gothic"/>
          </w14:checkbox>
        </w:sdtPr>
        <w:sdtEndPr/>
        <w:sdtContent>
          <w:r w:rsidR="002B655C" w:rsidRPr="002B655C">
            <w:rPr>
              <w:rFonts w:ascii="MS Gothic" w:eastAsia="MS Gothic" w:hAnsi="MS Gothic" w:hint="eastAsia"/>
              <w:strike/>
              <w:sz w:val="24"/>
              <w:szCs w:val="24"/>
            </w:rPr>
            <w:t>☐</w:t>
          </w:r>
        </w:sdtContent>
      </w:sdt>
      <w:r w:rsidR="002B655C" w:rsidRPr="002B655C">
        <w:rPr>
          <w:strike/>
          <w:sz w:val="24"/>
          <w:szCs w:val="24"/>
        </w:rPr>
        <w:t>Section A</w:t>
      </w:r>
      <w:sdt>
        <w:sdtPr>
          <w:rPr>
            <w:strike/>
            <w:sz w:val="24"/>
            <w:szCs w:val="24"/>
          </w:rPr>
          <w:id w:val="-421337705"/>
          <w14:checkbox>
            <w14:checked w14:val="0"/>
            <w14:checkedState w14:val="2612" w14:font="MS Gothic"/>
            <w14:uncheckedState w14:val="2610" w14:font="MS Gothic"/>
          </w14:checkbox>
        </w:sdtPr>
        <w:sdtEndPr/>
        <w:sdtContent>
          <w:r w:rsidR="002B655C" w:rsidRPr="002B655C">
            <w:rPr>
              <w:rFonts w:ascii="MS Gothic" w:eastAsia="MS Gothic" w:hAnsi="MS Gothic" w:hint="eastAsia"/>
              <w:strike/>
              <w:sz w:val="24"/>
              <w:szCs w:val="24"/>
            </w:rPr>
            <w:t>☐</w:t>
          </w:r>
        </w:sdtContent>
      </w:sdt>
      <w:r w:rsidR="002B655C" w:rsidRPr="002B655C">
        <w:rPr>
          <w:strike/>
          <w:sz w:val="24"/>
          <w:szCs w:val="24"/>
        </w:rPr>
        <w:t xml:space="preserve">Section </w:t>
      </w:r>
      <w:proofErr w:type="spellStart"/>
      <w:r w:rsidR="002B655C" w:rsidRPr="002B655C">
        <w:rPr>
          <w:strike/>
          <w:sz w:val="24"/>
          <w:szCs w:val="24"/>
        </w:rPr>
        <w:t>B</w:t>
      </w:r>
      <w:proofErr w:type="spellEnd"/>
      <w:sdt>
        <w:sdtPr>
          <w:rPr>
            <w:strike/>
            <w:sz w:val="24"/>
            <w:szCs w:val="24"/>
          </w:rPr>
          <w:id w:val="1136919779"/>
          <w14:checkbox>
            <w14:checked w14:val="0"/>
            <w14:checkedState w14:val="2612" w14:font="MS Gothic"/>
            <w14:uncheckedState w14:val="2610" w14:font="MS Gothic"/>
          </w14:checkbox>
        </w:sdtPr>
        <w:sdtEndPr/>
        <w:sdtContent>
          <w:r w:rsidR="002B655C" w:rsidRPr="002B655C">
            <w:rPr>
              <w:rFonts w:ascii="MS Gothic" w:eastAsia="MS Gothic" w:hAnsi="MS Gothic" w:hint="eastAsia"/>
              <w:strike/>
              <w:sz w:val="24"/>
              <w:szCs w:val="24"/>
            </w:rPr>
            <w:t>☐</w:t>
          </w:r>
        </w:sdtContent>
      </w:sdt>
      <w:r w:rsidR="002B655C" w:rsidRPr="002B655C">
        <w:rPr>
          <w:strike/>
          <w:sz w:val="24"/>
          <w:szCs w:val="24"/>
        </w:rPr>
        <w:t>Section C</w:t>
      </w:r>
    </w:p>
    <w:p w14:paraId="7A8CC782" w14:textId="77777777" w:rsidR="00E33565" w:rsidRPr="00E33565" w:rsidRDefault="00E33565" w:rsidP="00E33565">
      <w:pPr>
        <w:tabs>
          <w:tab w:val="left" w:pos="6300"/>
          <w:tab w:val="left" w:pos="7110"/>
          <w:tab w:val="left" w:pos="7920"/>
        </w:tabs>
        <w:spacing w:after="120"/>
        <w:rPr>
          <w:strike/>
          <w:sz w:val="24"/>
          <w:szCs w:val="24"/>
        </w:rPr>
      </w:pPr>
      <w:r w:rsidRPr="00E33565">
        <w:rPr>
          <w:strike/>
          <w:sz w:val="24"/>
          <w:szCs w:val="24"/>
        </w:rPr>
        <w:t>Claims Administrator/URO Response:</w:t>
      </w:r>
    </w:p>
    <w:tbl>
      <w:tblPr>
        <w:tblStyle w:val="TableGridLight"/>
        <w:tblW w:w="0" w:type="auto"/>
        <w:tblLook w:val="04A0" w:firstRow="1" w:lastRow="0" w:firstColumn="1" w:lastColumn="0" w:noHBand="0" w:noVBand="1"/>
        <w:tblCaption w:val="Claims Administrator Response"/>
        <w:tblDescription w:val="table lists treatment requested, decision and comments"/>
      </w:tblPr>
      <w:tblGrid>
        <w:gridCol w:w="3130"/>
        <w:gridCol w:w="1147"/>
        <w:gridCol w:w="5073"/>
      </w:tblGrid>
      <w:tr w:rsidR="00E33565" w:rsidRPr="00E33565" w14:paraId="59DA9646" w14:textId="77777777" w:rsidTr="003F1C4C">
        <w:trPr>
          <w:cantSplit/>
          <w:tblHeader/>
        </w:trPr>
        <w:tc>
          <w:tcPr>
            <w:tcW w:w="3596" w:type="dxa"/>
          </w:tcPr>
          <w:p w14:paraId="05CEC469" w14:textId="77777777" w:rsidR="00E33565" w:rsidRPr="00E33565" w:rsidRDefault="00E33565" w:rsidP="003F1C4C">
            <w:pPr>
              <w:tabs>
                <w:tab w:val="left" w:pos="6300"/>
                <w:tab w:val="left" w:pos="7110"/>
                <w:tab w:val="left" w:pos="7920"/>
              </w:tabs>
              <w:spacing w:after="120"/>
              <w:rPr>
                <w:b/>
                <w:strike/>
                <w:sz w:val="24"/>
                <w:szCs w:val="24"/>
              </w:rPr>
            </w:pPr>
            <w:r w:rsidRPr="00E33565">
              <w:rPr>
                <w:b/>
                <w:strike/>
                <w:sz w:val="24"/>
                <w:szCs w:val="24"/>
              </w:rPr>
              <w:t>Treatment Requested</w:t>
            </w:r>
          </w:p>
        </w:tc>
        <w:tc>
          <w:tcPr>
            <w:tcW w:w="1169" w:type="dxa"/>
          </w:tcPr>
          <w:p w14:paraId="68519F1F" w14:textId="77777777" w:rsidR="00E33565" w:rsidRPr="00E33565" w:rsidRDefault="00E33565" w:rsidP="003F1C4C">
            <w:pPr>
              <w:tabs>
                <w:tab w:val="left" w:pos="6300"/>
                <w:tab w:val="left" w:pos="7110"/>
                <w:tab w:val="left" w:pos="7920"/>
              </w:tabs>
              <w:spacing w:after="120"/>
              <w:rPr>
                <w:b/>
                <w:strike/>
                <w:sz w:val="24"/>
                <w:szCs w:val="24"/>
              </w:rPr>
            </w:pPr>
            <w:r w:rsidRPr="00E33565">
              <w:rPr>
                <w:b/>
                <w:strike/>
                <w:sz w:val="24"/>
                <w:szCs w:val="24"/>
              </w:rPr>
              <w:t>Decision</w:t>
            </w:r>
          </w:p>
        </w:tc>
        <w:tc>
          <w:tcPr>
            <w:tcW w:w="6025" w:type="dxa"/>
          </w:tcPr>
          <w:p w14:paraId="1E526432" w14:textId="77777777" w:rsidR="00E33565" w:rsidRPr="00E33565" w:rsidRDefault="00E33565" w:rsidP="003F1C4C">
            <w:pPr>
              <w:tabs>
                <w:tab w:val="left" w:pos="6300"/>
                <w:tab w:val="left" w:pos="7110"/>
                <w:tab w:val="left" w:pos="7920"/>
              </w:tabs>
              <w:spacing w:after="120"/>
              <w:rPr>
                <w:b/>
                <w:strike/>
                <w:sz w:val="24"/>
                <w:szCs w:val="24"/>
              </w:rPr>
            </w:pPr>
            <w:r w:rsidRPr="00E33565">
              <w:rPr>
                <w:b/>
                <w:strike/>
                <w:sz w:val="24"/>
                <w:szCs w:val="24"/>
              </w:rPr>
              <w:t>Comments</w:t>
            </w:r>
          </w:p>
        </w:tc>
      </w:tr>
      <w:tr w:rsidR="00E33565" w:rsidRPr="00E33565" w14:paraId="0D7B2982" w14:textId="77777777" w:rsidTr="003F1C4C">
        <w:tc>
          <w:tcPr>
            <w:tcW w:w="3596" w:type="dxa"/>
          </w:tcPr>
          <w:p w14:paraId="31C3D98A" w14:textId="77777777" w:rsidR="00E33565" w:rsidRPr="00E33565" w:rsidRDefault="00E33565" w:rsidP="003F1C4C">
            <w:pPr>
              <w:tabs>
                <w:tab w:val="left" w:pos="6300"/>
                <w:tab w:val="left" w:pos="7110"/>
                <w:tab w:val="left" w:pos="7920"/>
              </w:tabs>
              <w:spacing w:after="120"/>
              <w:rPr>
                <w:strike/>
                <w:sz w:val="24"/>
                <w:szCs w:val="24"/>
              </w:rPr>
            </w:pPr>
          </w:p>
        </w:tc>
        <w:tc>
          <w:tcPr>
            <w:tcW w:w="1169" w:type="dxa"/>
          </w:tcPr>
          <w:p w14:paraId="417D625E" w14:textId="77777777" w:rsidR="00E33565" w:rsidRPr="00E33565" w:rsidRDefault="00E33565" w:rsidP="003F1C4C">
            <w:pPr>
              <w:tabs>
                <w:tab w:val="left" w:pos="6300"/>
                <w:tab w:val="left" w:pos="7110"/>
                <w:tab w:val="left" w:pos="7920"/>
              </w:tabs>
              <w:spacing w:after="120"/>
              <w:rPr>
                <w:strike/>
                <w:sz w:val="24"/>
                <w:szCs w:val="24"/>
              </w:rPr>
            </w:pPr>
          </w:p>
        </w:tc>
        <w:tc>
          <w:tcPr>
            <w:tcW w:w="6025" w:type="dxa"/>
          </w:tcPr>
          <w:p w14:paraId="023384D2" w14:textId="77777777" w:rsidR="00E33565" w:rsidRPr="00E33565" w:rsidRDefault="00E33565" w:rsidP="003F1C4C">
            <w:pPr>
              <w:tabs>
                <w:tab w:val="left" w:pos="6300"/>
                <w:tab w:val="left" w:pos="7110"/>
                <w:tab w:val="left" w:pos="7920"/>
              </w:tabs>
              <w:spacing w:after="120"/>
              <w:rPr>
                <w:strike/>
                <w:sz w:val="24"/>
                <w:szCs w:val="24"/>
              </w:rPr>
            </w:pPr>
          </w:p>
        </w:tc>
      </w:tr>
      <w:tr w:rsidR="00E33565" w:rsidRPr="00E33565" w14:paraId="023F741F" w14:textId="77777777" w:rsidTr="003F1C4C">
        <w:tc>
          <w:tcPr>
            <w:tcW w:w="3596" w:type="dxa"/>
          </w:tcPr>
          <w:p w14:paraId="48F42311" w14:textId="77777777" w:rsidR="00E33565" w:rsidRPr="00E33565" w:rsidRDefault="00E33565" w:rsidP="003F1C4C">
            <w:pPr>
              <w:tabs>
                <w:tab w:val="left" w:pos="6300"/>
                <w:tab w:val="left" w:pos="7110"/>
                <w:tab w:val="left" w:pos="7920"/>
              </w:tabs>
              <w:spacing w:after="120"/>
              <w:rPr>
                <w:strike/>
                <w:sz w:val="24"/>
                <w:szCs w:val="24"/>
              </w:rPr>
            </w:pPr>
          </w:p>
        </w:tc>
        <w:tc>
          <w:tcPr>
            <w:tcW w:w="1169" w:type="dxa"/>
          </w:tcPr>
          <w:p w14:paraId="58F20E8D" w14:textId="77777777" w:rsidR="00E33565" w:rsidRPr="00E33565" w:rsidRDefault="00E33565" w:rsidP="003F1C4C">
            <w:pPr>
              <w:tabs>
                <w:tab w:val="left" w:pos="6300"/>
                <w:tab w:val="left" w:pos="7110"/>
                <w:tab w:val="left" w:pos="7920"/>
              </w:tabs>
              <w:spacing w:after="120"/>
              <w:rPr>
                <w:strike/>
                <w:sz w:val="24"/>
                <w:szCs w:val="24"/>
              </w:rPr>
            </w:pPr>
          </w:p>
        </w:tc>
        <w:tc>
          <w:tcPr>
            <w:tcW w:w="6025" w:type="dxa"/>
          </w:tcPr>
          <w:p w14:paraId="59252D15" w14:textId="77777777" w:rsidR="00E33565" w:rsidRPr="00E33565" w:rsidRDefault="00E33565" w:rsidP="003F1C4C">
            <w:pPr>
              <w:tabs>
                <w:tab w:val="left" w:pos="6300"/>
                <w:tab w:val="left" w:pos="7110"/>
                <w:tab w:val="left" w:pos="7920"/>
              </w:tabs>
              <w:spacing w:after="120"/>
              <w:rPr>
                <w:strike/>
                <w:sz w:val="24"/>
                <w:szCs w:val="24"/>
              </w:rPr>
            </w:pPr>
          </w:p>
        </w:tc>
      </w:tr>
    </w:tbl>
    <w:p w14:paraId="5756758B" w14:textId="159696B4" w:rsidR="00E33565" w:rsidRDefault="00E33565" w:rsidP="00E33565">
      <w:pPr>
        <w:tabs>
          <w:tab w:val="left" w:pos="6300"/>
          <w:tab w:val="left" w:pos="7110"/>
          <w:tab w:val="left" w:pos="7920"/>
        </w:tabs>
        <w:spacing w:after="120"/>
        <w:rPr>
          <w:sz w:val="24"/>
          <w:szCs w:val="24"/>
        </w:rPr>
      </w:pPr>
      <w:r w:rsidRPr="00E33565">
        <w:rPr>
          <w:strike/>
          <w:sz w:val="24"/>
          <w:szCs w:val="24"/>
        </w:rPr>
        <w:t xml:space="preserve">Authorizing Agent Name: </w:t>
      </w:r>
      <w:r w:rsidRPr="00E33565">
        <w:rPr>
          <w:rFonts w:ascii="Arial" w:eastAsia="Arial" w:hAnsi="Arial" w:cs="Arial"/>
          <w:strike/>
        </w:rPr>
        <w:object w:dxaOrig="225" w:dyaOrig="225" w14:anchorId="0C76B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Authorizing Agent Name" style="width:172.5pt;height:18pt" o:ole="">
            <v:imagedata r:id="rId12" o:title=""/>
          </v:shape>
          <w:control r:id="rId13" w:name="TextBox35" w:shapeid="_x0000_i1029"/>
        </w:object>
      </w:r>
      <w:r w:rsidRPr="00E33565">
        <w:rPr>
          <w:strike/>
          <w:sz w:val="24"/>
          <w:szCs w:val="24"/>
        </w:rPr>
        <w:tab/>
        <w:t>Signature:</w:t>
      </w:r>
      <w:r>
        <w:rPr>
          <w:sz w:val="24"/>
          <w:szCs w:val="24"/>
        </w:rPr>
        <w:t xml:space="preserve"> </w:t>
      </w:r>
      <w:r>
        <w:rPr>
          <w:rFonts w:ascii="Arial" w:eastAsia="Arial" w:hAnsi="Arial" w:cs="Arial"/>
        </w:rPr>
        <w:object w:dxaOrig="225" w:dyaOrig="225" w14:anchorId="41371E28">
          <v:shape id="_x0000_i1031" type="#_x0000_t75" alt="signature" style="width:166.5pt;height:18pt" o:ole="">
            <v:imagedata r:id="rId14" o:title=""/>
          </v:shape>
          <w:control r:id="rId15" w:name="TextBox36" w:shapeid="_x0000_i1031"/>
        </w:object>
      </w:r>
    </w:p>
    <w:p w14:paraId="5F52B2EF" w14:textId="77777777" w:rsidR="00E33565" w:rsidRDefault="00E33565" w:rsidP="00E33565">
      <w:pPr>
        <w:tabs>
          <w:tab w:val="left" w:pos="3960"/>
          <w:tab w:val="left" w:pos="5400"/>
        </w:tabs>
        <w:spacing w:after="120"/>
        <w:rPr>
          <w:sz w:val="24"/>
          <w:szCs w:val="24"/>
        </w:rPr>
      </w:pPr>
    </w:p>
    <w:p w14:paraId="3B195349" w14:textId="559CDCAD" w:rsidR="00BF2931" w:rsidRDefault="00BF2931" w:rsidP="00BF2931">
      <w:pPr>
        <w:spacing w:after="240"/>
        <w:rPr>
          <w:rFonts w:ascii="Times New Roman" w:eastAsia="Times New Roman" w:hAnsi="Times New Roman" w:cs="Times New Roman"/>
          <w:b/>
          <w:bCs/>
          <w:sz w:val="24"/>
          <w:szCs w:val="24"/>
        </w:rPr>
      </w:pPr>
      <w:r w:rsidRPr="0021034F">
        <w:rPr>
          <w:rFonts w:ascii="Times New Roman" w:eastAsia="Times New Roman" w:hAnsi="Times New Roman" w:cs="Times New Roman"/>
          <w:b/>
          <w:bCs/>
          <w:sz w:val="24"/>
          <w:szCs w:val="24"/>
        </w:rPr>
        <w:t>Recommendation</w:t>
      </w:r>
      <w:r>
        <w:rPr>
          <w:rFonts w:ascii="Times New Roman" w:eastAsia="Times New Roman" w:hAnsi="Times New Roman" w:cs="Times New Roman"/>
          <w:b/>
          <w:bCs/>
          <w:sz w:val="24"/>
          <w:szCs w:val="24"/>
        </w:rPr>
        <w:t>s</w:t>
      </w:r>
      <w:r w:rsidRPr="0021034F">
        <w:rPr>
          <w:rFonts w:ascii="Times New Roman" w:eastAsia="Times New Roman" w:hAnsi="Times New Roman" w:cs="Times New Roman"/>
          <w:b/>
          <w:bCs/>
          <w:sz w:val="24"/>
          <w:szCs w:val="24"/>
        </w:rPr>
        <w:t>:</w:t>
      </w:r>
    </w:p>
    <w:p w14:paraId="3DD64394" w14:textId="7555A9D9" w:rsidR="00BF2931" w:rsidRDefault="00BF2931" w:rsidP="00BF2931">
      <w:pPr>
        <w:spacing w:after="24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The Institute recommends that the mandatory date for using the PR-1 be amended to six months after the effective date of these regulations, consistent with </w:t>
      </w:r>
      <w:r w:rsidRPr="00BF2931">
        <w:rPr>
          <w:rFonts w:ascii="Times New Roman" w:hAnsi="Times New Roman" w:cs="Times New Roman"/>
          <w:i/>
          <w:iCs/>
          <w:sz w:val="24"/>
          <w:szCs w:val="24"/>
        </w:rPr>
        <w:t>§</w:t>
      </w:r>
      <w:r>
        <w:rPr>
          <w:rFonts w:ascii="Times New Roman" w:eastAsia="Times New Roman" w:hAnsi="Times New Roman" w:cs="Times New Roman"/>
          <w:i/>
          <w:iCs/>
          <w:sz w:val="24"/>
          <w:szCs w:val="24"/>
        </w:rPr>
        <w:t xml:space="preserve"> 9785</w:t>
      </w:r>
      <w:r w:rsidR="004831DF">
        <w:rPr>
          <w:rFonts w:ascii="Times New Roman" w:eastAsia="Times New Roman" w:hAnsi="Times New Roman" w:cs="Times New Roman"/>
          <w:i/>
          <w:iCs/>
          <w:sz w:val="24"/>
          <w:szCs w:val="24"/>
        </w:rPr>
        <w:t xml:space="preserve">.6 </w:t>
      </w:r>
      <w:r>
        <w:rPr>
          <w:rFonts w:ascii="Times New Roman" w:eastAsia="Times New Roman" w:hAnsi="Times New Roman" w:cs="Times New Roman"/>
          <w:i/>
          <w:iCs/>
          <w:sz w:val="24"/>
          <w:szCs w:val="24"/>
        </w:rPr>
        <w:t>(g)(2).</w:t>
      </w:r>
    </w:p>
    <w:p w14:paraId="1F06E36A" w14:textId="232AAA07" w:rsidR="002B655C" w:rsidRDefault="00BF2931" w:rsidP="00BF2931">
      <w:pPr>
        <w:spacing w:after="240"/>
        <w:rPr>
          <w:rFonts w:ascii="Times New Roman" w:hAnsi="Times New Roman" w:cs="Times New Roman"/>
          <w:i/>
          <w:iCs/>
          <w:sz w:val="24"/>
          <w:szCs w:val="24"/>
        </w:rPr>
      </w:pPr>
      <w:r>
        <w:rPr>
          <w:rFonts w:ascii="Times New Roman" w:eastAsia="Times New Roman" w:hAnsi="Times New Roman" w:cs="Times New Roman"/>
          <w:i/>
          <w:iCs/>
          <w:sz w:val="24"/>
          <w:szCs w:val="24"/>
        </w:rPr>
        <w:t xml:space="preserve">The Institute also recommends </w:t>
      </w:r>
      <w:r w:rsidR="008877D7">
        <w:rPr>
          <w:rFonts w:ascii="Times New Roman" w:eastAsia="Times New Roman" w:hAnsi="Times New Roman" w:cs="Times New Roman"/>
          <w:i/>
          <w:iCs/>
          <w:sz w:val="24"/>
          <w:szCs w:val="24"/>
        </w:rPr>
        <w:t xml:space="preserve">that </w:t>
      </w:r>
      <w:r>
        <w:rPr>
          <w:rFonts w:ascii="Times New Roman" w:eastAsia="Times New Roman" w:hAnsi="Times New Roman" w:cs="Times New Roman"/>
          <w:i/>
          <w:iCs/>
          <w:sz w:val="24"/>
          <w:szCs w:val="24"/>
        </w:rPr>
        <w:t xml:space="preserve">the </w:t>
      </w:r>
      <w:r w:rsidR="008877D7">
        <w:rPr>
          <w:rFonts w:ascii="Times New Roman" w:eastAsia="Times New Roman" w:hAnsi="Times New Roman" w:cs="Times New Roman"/>
          <w:i/>
          <w:iCs/>
          <w:sz w:val="24"/>
          <w:szCs w:val="24"/>
        </w:rPr>
        <w:t xml:space="preserve">Claims Administrator/URO Response </w:t>
      </w:r>
      <w:r w:rsidR="00DB3789">
        <w:rPr>
          <w:rFonts w:ascii="Times New Roman" w:eastAsia="Times New Roman" w:hAnsi="Times New Roman" w:cs="Times New Roman"/>
          <w:i/>
          <w:iCs/>
          <w:sz w:val="24"/>
          <w:szCs w:val="24"/>
        </w:rPr>
        <w:t>s</w:t>
      </w:r>
      <w:r w:rsidR="008877D7">
        <w:rPr>
          <w:rFonts w:ascii="Times New Roman" w:eastAsia="Times New Roman" w:hAnsi="Times New Roman" w:cs="Times New Roman"/>
          <w:i/>
          <w:iCs/>
          <w:sz w:val="24"/>
          <w:szCs w:val="24"/>
        </w:rPr>
        <w:t xml:space="preserve">ection be deleted from pages 2 and 3 of the PR-1.  Claims administrators and UROs have established processes for responding to treatment requests that include all information required by </w:t>
      </w:r>
      <w:r w:rsidR="00B74C04">
        <w:rPr>
          <w:rFonts w:ascii="Times New Roman" w:eastAsia="Times New Roman" w:hAnsi="Times New Roman" w:cs="Times New Roman"/>
          <w:i/>
          <w:iCs/>
          <w:sz w:val="24"/>
          <w:szCs w:val="24"/>
        </w:rPr>
        <w:t xml:space="preserve">Labor Code </w:t>
      </w:r>
      <w:r w:rsidR="008877D7" w:rsidRPr="00B74C04">
        <w:rPr>
          <w:rFonts w:ascii="Times New Roman" w:hAnsi="Times New Roman" w:cs="Times New Roman"/>
          <w:i/>
          <w:iCs/>
          <w:sz w:val="24"/>
          <w:szCs w:val="24"/>
        </w:rPr>
        <w:t>§</w:t>
      </w:r>
      <w:r w:rsidR="00B74C04">
        <w:rPr>
          <w:rFonts w:ascii="Times New Roman" w:hAnsi="Times New Roman" w:cs="Times New Roman"/>
          <w:i/>
          <w:iCs/>
          <w:sz w:val="24"/>
          <w:szCs w:val="24"/>
        </w:rPr>
        <w:t xml:space="preserve"> 4610(</w:t>
      </w:r>
      <w:proofErr w:type="spellStart"/>
      <w:r w:rsidR="00B74C04">
        <w:rPr>
          <w:rFonts w:ascii="Times New Roman" w:hAnsi="Times New Roman" w:cs="Times New Roman"/>
          <w:i/>
          <w:iCs/>
          <w:sz w:val="24"/>
          <w:szCs w:val="24"/>
        </w:rPr>
        <w:t>i</w:t>
      </w:r>
      <w:proofErr w:type="spellEnd"/>
      <w:r w:rsidR="00B74C04">
        <w:rPr>
          <w:rFonts w:ascii="Times New Roman" w:hAnsi="Times New Roman" w:cs="Times New Roman"/>
          <w:i/>
          <w:iCs/>
          <w:sz w:val="24"/>
          <w:szCs w:val="24"/>
        </w:rPr>
        <w:t>)(5)</w:t>
      </w:r>
      <w:r w:rsidR="00FA7D02">
        <w:rPr>
          <w:rFonts w:ascii="Times New Roman" w:hAnsi="Times New Roman" w:cs="Times New Roman"/>
          <w:i/>
          <w:iCs/>
          <w:sz w:val="24"/>
          <w:szCs w:val="24"/>
        </w:rPr>
        <w:t xml:space="preserve">, and </w:t>
      </w:r>
      <w:r w:rsidR="00FA7D02" w:rsidRPr="00B74C04">
        <w:rPr>
          <w:rFonts w:ascii="Times New Roman" w:hAnsi="Times New Roman" w:cs="Times New Roman"/>
          <w:i/>
          <w:iCs/>
          <w:sz w:val="24"/>
          <w:szCs w:val="24"/>
        </w:rPr>
        <w:t>§§</w:t>
      </w:r>
      <w:r w:rsidR="00FA7D02">
        <w:rPr>
          <w:rFonts w:ascii="Times New Roman" w:hAnsi="Times New Roman" w:cs="Times New Roman"/>
          <w:i/>
          <w:iCs/>
          <w:sz w:val="24"/>
          <w:szCs w:val="24"/>
        </w:rPr>
        <w:t xml:space="preserve"> 9792.9.1(d)(1) and 9792.9.1(e)(5)</w:t>
      </w:r>
      <w:r w:rsidR="008877D7">
        <w:rPr>
          <w:rFonts w:ascii="Times New Roman" w:hAnsi="Times New Roman" w:cs="Times New Roman"/>
          <w:i/>
          <w:iCs/>
          <w:sz w:val="24"/>
          <w:szCs w:val="24"/>
        </w:rPr>
        <w:t xml:space="preserve"> and are unlikely to repeat those responses on the PR-1.</w:t>
      </w:r>
      <w:r w:rsidR="002B655C">
        <w:rPr>
          <w:rFonts w:ascii="Times New Roman" w:hAnsi="Times New Roman" w:cs="Times New Roman"/>
          <w:i/>
          <w:iCs/>
          <w:sz w:val="24"/>
          <w:szCs w:val="24"/>
        </w:rPr>
        <w:t xml:space="preserve">  If the Claims Administrator/URO </w:t>
      </w:r>
      <w:r w:rsidR="00DC13FE">
        <w:rPr>
          <w:rFonts w:ascii="Times New Roman" w:hAnsi="Times New Roman" w:cs="Times New Roman"/>
          <w:i/>
          <w:iCs/>
          <w:sz w:val="24"/>
          <w:szCs w:val="24"/>
        </w:rPr>
        <w:t>R</w:t>
      </w:r>
      <w:r w:rsidR="002B655C">
        <w:rPr>
          <w:rFonts w:ascii="Times New Roman" w:hAnsi="Times New Roman" w:cs="Times New Roman"/>
          <w:i/>
          <w:iCs/>
          <w:sz w:val="24"/>
          <w:szCs w:val="24"/>
        </w:rPr>
        <w:t xml:space="preserve">esponse sections are deleted, the check box for RFA response on page one should also be deleted.  If the Claims Administrator/URO </w:t>
      </w:r>
      <w:r w:rsidR="00DC13FE">
        <w:rPr>
          <w:rFonts w:ascii="Times New Roman" w:hAnsi="Times New Roman" w:cs="Times New Roman"/>
          <w:i/>
          <w:iCs/>
          <w:sz w:val="24"/>
          <w:szCs w:val="24"/>
        </w:rPr>
        <w:t>R</w:t>
      </w:r>
      <w:r w:rsidR="002B655C">
        <w:rPr>
          <w:rFonts w:ascii="Times New Roman" w:hAnsi="Times New Roman" w:cs="Times New Roman"/>
          <w:i/>
          <w:iCs/>
          <w:sz w:val="24"/>
          <w:szCs w:val="24"/>
        </w:rPr>
        <w:t>esponse sections are retained, the check boxes for Sections B and C should be deleted as any response would pertain to treatment requests</w:t>
      </w:r>
      <w:r w:rsidR="00E33565">
        <w:rPr>
          <w:rFonts w:ascii="Times New Roman" w:hAnsi="Times New Roman" w:cs="Times New Roman"/>
          <w:i/>
          <w:iCs/>
          <w:sz w:val="24"/>
          <w:szCs w:val="24"/>
        </w:rPr>
        <w:t xml:space="preserve"> in Section A</w:t>
      </w:r>
      <w:r w:rsidR="002B655C">
        <w:rPr>
          <w:rFonts w:ascii="Times New Roman" w:hAnsi="Times New Roman" w:cs="Times New Roman"/>
          <w:i/>
          <w:iCs/>
          <w:sz w:val="24"/>
          <w:szCs w:val="24"/>
        </w:rPr>
        <w:t xml:space="preserve"> only</w:t>
      </w:r>
      <w:r w:rsidR="00B74C04">
        <w:rPr>
          <w:rFonts w:ascii="Times New Roman" w:hAnsi="Times New Roman" w:cs="Times New Roman"/>
          <w:i/>
          <w:iCs/>
          <w:sz w:val="24"/>
          <w:szCs w:val="24"/>
        </w:rPr>
        <w:t>.</w:t>
      </w:r>
      <w:r w:rsidR="00EF2A2A">
        <w:rPr>
          <w:rFonts w:ascii="Times New Roman" w:hAnsi="Times New Roman" w:cs="Times New Roman"/>
          <w:i/>
          <w:iCs/>
          <w:sz w:val="24"/>
          <w:szCs w:val="24"/>
        </w:rPr>
        <w:t xml:space="preserve"> </w:t>
      </w:r>
    </w:p>
    <w:p w14:paraId="3D296F89" w14:textId="6E17CCBE" w:rsidR="00460AAD" w:rsidRDefault="00EF2A2A" w:rsidP="00BF2931">
      <w:pPr>
        <w:spacing w:after="240"/>
        <w:rPr>
          <w:rFonts w:ascii="Times New Roman" w:eastAsia="Times New Roman" w:hAnsi="Times New Roman" w:cs="Times New Roman"/>
          <w:i/>
          <w:iCs/>
          <w:sz w:val="24"/>
          <w:szCs w:val="24"/>
        </w:rPr>
      </w:pPr>
      <w:r>
        <w:rPr>
          <w:rFonts w:ascii="Times New Roman" w:hAnsi="Times New Roman" w:cs="Times New Roman"/>
          <w:i/>
          <w:iCs/>
          <w:sz w:val="24"/>
          <w:szCs w:val="24"/>
        </w:rPr>
        <w:t xml:space="preserve">We also recommend that the instructions be amended to require that the treating physician submit only those sections that are relevant to that reporting, </w:t>
      </w:r>
      <w:r w:rsidR="002B655C">
        <w:rPr>
          <w:rFonts w:ascii="Times New Roman" w:hAnsi="Times New Roman" w:cs="Times New Roman"/>
          <w:i/>
          <w:iCs/>
          <w:sz w:val="24"/>
          <w:szCs w:val="24"/>
        </w:rPr>
        <w:t>i.e.</w:t>
      </w:r>
      <w:r w:rsidR="00DC13FE">
        <w:rPr>
          <w:rFonts w:ascii="Times New Roman" w:hAnsi="Times New Roman" w:cs="Times New Roman"/>
          <w:i/>
          <w:iCs/>
          <w:sz w:val="24"/>
          <w:szCs w:val="24"/>
        </w:rPr>
        <w:t>,</w:t>
      </w:r>
      <w:r>
        <w:rPr>
          <w:rFonts w:ascii="Times New Roman" w:hAnsi="Times New Roman" w:cs="Times New Roman"/>
          <w:i/>
          <w:iCs/>
          <w:sz w:val="24"/>
          <w:szCs w:val="24"/>
        </w:rPr>
        <w:t xml:space="preserve"> page 1 plus </w:t>
      </w:r>
      <w:r w:rsidR="00DC13FE">
        <w:rPr>
          <w:rFonts w:ascii="Times New Roman" w:hAnsi="Times New Roman" w:cs="Times New Roman"/>
          <w:i/>
          <w:iCs/>
          <w:sz w:val="24"/>
          <w:szCs w:val="24"/>
        </w:rPr>
        <w:t>S</w:t>
      </w:r>
      <w:r>
        <w:rPr>
          <w:rFonts w:ascii="Times New Roman" w:hAnsi="Times New Roman" w:cs="Times New Roman"/>
          <w:i/>
          <w:iCs/>
          <w:sz w:val="24"/>
          <w:szCs w:val="24"/>
        </w:rPr>
        <w:t>ection A, B and/or C.</w:t>
      </w:r>
      <w:r w:rsidR="002B655C">
        <w:rPr>
          <w:rFonts w:ascii="Times New Roman" w:hAnsi="Times New Roman" w:cs="Times New Roman"/>
          <w:i/>
          <w:iCs/>
          <w:sz w:val="24"/>
          <w:szCs w:val="24"/>
        </w:rPr>
        <w:t xml:space="preserve">  </w:t>
      </w:r>
      <w:r>
        <w:rPr>
          <w:rFonts w:ascii="Times New Roman" w:hAnsi="Times New Roman" w:cs="Times New Roman"/>
          <w:i/>
          <w:iCs/>
          <w:sz w:val="24"/>
          <w:szCs w:val="24"/>
        </w:rPr>
        <w:t xml:space="preserve">Requiring submission of </w:t>
      </w:r>
      <w:r w:rsidR="008877D7">
        <w:rPr>
          <w:rFonts w:ascii="Times New Roman" w:hAnsi="Times New Roman" w:cs="Times New Roman"/>
          <w:i/>
          <w:iCs/>
          <w:sz w:val="24"/>
          <w:szCs w:val="24"/>
        </w:rPr>
        <w:t>sections</w:t>
      </w:r>
      <w:r>
        <w:rPr>
          <w:rFonts w:ascii="Times New Roman" w:hAnsi="Times New Roman" w:cs="Times New Roman"/>
          <w:i/>
          <w:iCs/>
          <w:sz w:val="24"/>
          <w:szCs w:val="24"/>
        </w:rPr>
        <w:t xml:space="preserve"> that are not relevant will</w:t>
      </w:r>
      <w:r w:rsidR="008877D7">
        <w:rPr>
          <w:rFonts w:ascii="Times New Roman" w:hAnsi="Times New Roman" w:cs="Times New Roman"/>
          <w:i/>
          <w:iCs/>
          <w:sz w:val="24"/>
          <w:szCs w:val="24"/>
        </w:rPr>
        <w:t xml:space="preserve"> add </w:t>
      </w:r>
      <w:r>
        <w:rPr>
          <w:rFonts w:ascii="Times New Roman" w:hAnsi="Times New Roman" w:cs="Times New Roman"/>
          <w:i/>
          <w:iCs/>
          <w:sz w:val="24"/>
          <w:szCs w:val="24"/>
        </w:rPr>
        <w:t>unnecessary</w:t>
      </w:r>
      <w:r w:rsidR="008877D7">
        <w:rPr>
          <w:rFonts w:ascii="Times New Roman" w:hAnsi="Times New Roman" w:cs="Times New Roman"/>
          <w:i/>
          <w:iCs/>
          <w:sz w:val="24"/>
          <w:szCs w:val="24"/>
        </w:rPr>
        <w:t xml:space="preserve"> length to the PR-1, which will impact medical-legal record review charges. </w:t>
      </w:r>
      <w:r w:rsidR="008877D7">
        <w:rPr>
          <w:rFonts w:ascii="Times New Roman" w:eastAsia="Times New Roman" w:hAnsi="Times New Roman" w:cs="Times New Roman"/>
          <w:i/>
          <w:iCs/>
          <w:sz w:val="24"/>
          <w:szCs w:val="24"/>
        </w:rPr>
        <w:t xml:space="preserve"> </w:t>
      </w:r>
    </w:p>
    <w:p w14:paraId="67F8D048" w14:textId="4B05EB87" w:rsidR="00BF2931" w:rsidRDefault="00BF2931" w:rsidP="00BF2931">
      <w:pPr>
        <w:spacing w:after="24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p>
    <w:p w14:paraId="278D50A0" w14:textId="77777777" w:rsidR="00321E9B" w:rsidRDefault="00321E9B" w:rsidP="00BF2931">
      <w:pPr>
        <w:spacing w:after="240"/>
        <w:rPr>
          <w:rFonts w:ascii="Times New Roman" w:eastAsia="Times New Roman" w:hAnsi="Times New Roman" w:cs="Times New Roman"/>
          <w:sz w:val="24"/>
          <w:szCs w:val="24"/>
        </w:rPr>
      </w:pPr>
    </w:p>
    <w:p w14:paraId="74E6B696" w14:textId="77777777" w:rsidR="00830D93" w:rsidRDefault="00830D93" w:rsidP="00BF2931">
      <w:pPr>
        <w:spacing w:after="240"/>
        <w:rPr>
          <w:rFonts w:ascii="Times New Roman" w:eastAsia="Times New Roman" w:hAnsi="Times New Roman" w:cs="Times New Roman"/>
          <w:sz w:val="24"/>
          <w:szCs w:val="24"/>
        </w:rPr>
      </w:pPr>
    </w:p>
    <w:p w14:paraId="21EBFEF3" w14:textId="77777777" w:rsidR="00830D93" w:rsidRDefault="00830D93" w:rsidP="00830D93">
      <w:pPr>
        <w:spacing w:after="0"/>
        <w:rPr>
          <w:rFonts w:ascii="Times New Roman" w:eastAsia="Times New Roman" w:hAnsi="Times New Roman" w:cs="Times New Roman"/>
          <w:sz w:val="24"/>
          <w:szCs w:val="24"/>
        </w:rPr>
      </w:pPr>
    </w:p>
    <w:p w14:paraId="6617457E" w14:textId="4F6D37B6" w:rsidR="00321E9B" w:rsidRDefault="00321E9B" w:rsidP="00321E9B">
      <w:pPr>
        <w:pStyle w:val="Heading2"/>
        <w:rPr>
          <w:rFonts w:ascii="Times New Roman" w:hAnsi="Times New Roman" w:cs="Times New Roman"/>
          <w:b/>
          <w:bCs/>
          <w:color w:val="auto"/>
          <w:sz w:val="24"/>
          <w:szCs w:val="24"/>
        </w:rPr>
      </w:pPr>
      <w:r w:rsidRPr="00321E9B">
        <w:rPr>
          <w:rFonts w:ascii="Times New Roman" w:hAnsi="Times New Roman" w:cs="Times New Roman"/>
          <w:b/>
          <w:bCs/>
          <w:color w:val="auto"/>
          <w:sz w:val="24"/>
          <w:szCs w:val="24"/>
        </w:rPr>
        <w:t xml:space="preserve">§9786. </w:t>
      </w:r>
      <w:r w:rsidR="00FF345A">
        <w:rPr>
          <w:rFonts w:ascii="Times New Roman" w:hAnsi="Times New Roman" w:cs="Times New Roman"/>
          <w:b/>
          <w:bCs/>
          <w:color w:val="auto"/>
          <w:sz w:val="24"/>
          <w:szCs w:val="24"/>
        </w:rPr>
        <w:t xml:space="preserve"> </w:t>
      </w:r>
      <w:r w:rsidRPr="00321E9B">
        <w:rPr>
          <w:rFonts w:ascii="Times New Roman" w:hAnsi="Times New Roman" w:cs="Times New Roman"/>
          <w:b/>
          <w:bCs/>
          <w:color w:val="auto"/>
          <w:sz w:val="24"/>
          <w:szCs w:val="24"/>
        </w:rPr>
        <w:t>Petition for Change of Primary Treating Physician.</w:t>
      </w:r>
    </w:p>
    <w:p w14:paraId="1041D411" w14:textId="77777777" w:rsidR="00985165" w:rsidRDefault="00985165" w:rsidP="00985165">
      <w:pPr>
        <w:spacing w:after="0"/>
        <w:rPr>
          <w:rFonts w:ascii="Times New Roman" w:eastAsia="Times New Roman" w:hAnsi="Times New Roman" w:cs="Times New Roman"/>
          <w:b/>
          <w:bCs/>
          <w:sz w:val="24"/>
          <w:szCs w:val="24"/>
        </w:rPr>
      </w:pPr>
    </w:p>
    <w:p w14:paraId="5129F8C2" w14:textId="1ECF42C9" w:rsidR="000E17FB" w:rsidRDefault="00321E9B" w:rsidP="000E17FB">
      <w:pPr>
        <w:spacing w:after="240"/>
        <w:rPr>
          <w:rFonts w:ascii="Times New Roman" w:eastAsia="Times New Roman" w:hAnsi="Times New Roman" w:cs="Times New Roman"/>
          <w:b/>
          <w:bCs/>
          <w:sz w:val="24"/>
          <w:szCs w:val="24"/>
        </w:rPr>
      </w:pPr>
      <w:r w:rsidRPr="00321E9B">
        <w:rPr>
          <w:rFonts w:ascii="Times New Roman" w:eastAsia="Times New Roman" w:hAnsi="Times New Roman" w:cs="Times New Roman"/>
          <w:b/>
          <w:bCs/>
          <w:sz w:val="24"/>
          <w:szCs w:val="24"/>
        </w:rPr>
        <w:t xml:space="preserve">(c)(3) Where an allegation of good cause is based upon failure to timely issue the “Doctor's First Report of Occupational Injury or Illness,” Form </w:t>
      </w:r>
      <w:r w:rsidR="000E17FB">
        <w:rPr>
          <w:rFonts w:ascii="Times New Roman" w:eastAsia="Times New Roman" w:hAnsi="Times New Roman" w:cs="Times New Roman"/>
          <w:b/>
          <w:bCs/>
          <w:sz w:val="24"/>
          <w:szCs w:val="24"/>
        </w:rPr>
        <w:t>5</w:t>
      </w:r>
      <w:r w:rsidRPr="00321E9B">
        <w:rPr>
          <w:rFonts w:ascii="Times New Roman" w:eastAsia="Times New Roman" w:hAnsi="Times New Roman" w:cs="Times New Roman"/>
          <w:b/>
          <w:bCs/>
          <w:sz w:val="24"/>
          <w:szCs w:val="24"/>
        </w:rPr>
        <w:t xml:space="preserve">021, within 5 working days of the initial examination pursuant to Section 9785, subdivision (e)(1), the petition setting forth such allegation shall be filed within 90 days </w:t>
      </w:r>
      <w:r w:rsidRPr="000E17FB">
        <w:rPr>
          <w:rFonts w:ascii="Times New Roman" w:eastAsia="Times New Roman" w:hAnsi="Times New Roman" w:cs="Times New Roman"/>
          <w:b/>
          <w:bCs/>
          <w:sz w:val="24"/>
          <w:szCs w:val="24"/>
        </w:rPr>
        <w:t>of the claims administrator’s knowledge of the</w:t>
      </w:r>
      <w:r w:rsidRPr="00321E9B">
        <w:rPr>
          <w:rFonts w:ascii="Times New Roman" w:eastAsia="Times New Roman" w:hAnsi="Times New Roman" w:cs="Times New Roman"/>
          <w:b/>
          <w:bCs/>
          <w:sz w:val="24"/>
          <w:szCs w:val="24"/>
        </w:rPr>
        <w:t xml:space="preserve"> initial examination</w:t>
      </w:r>
    </w:p>
    <w:p w14:paraId="419717D5" w14:textId="658A2FB5" w:rsidR="000E17FB" w:rsidRDefault="000E17FB" w:rsidP="000E17FB">
      <w:pPr>
        <w:spacing w:after="2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Comment</w:t>
      </w:r>
      <w:r w:rsidRPr="0021034F">
        <w:rPr>
          <w:rFonts w:ascii="Times New Roman" w:eastAsia="Times New Roman" w:hAnsi="Times New Roman" w:cs="Times New Roman"/>
          <w:b/>
          <w:bCs/>
          <w:sz w:val="24"/>
          <w:szCs w:val="24"/>
        </w:rPr>
        <w:t>:</w:t>
      </w:r>
    </w:p>
    <w:p w14:paraId="4F105B9B" w14:textId="1850F367" w:rsidR="000E17FB" w:rsidRDefault="000E17FB" w:rsidP="00321E9B">
      <w:pPr>
        <w:spacing w:after="24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The Institute supports the addition of “claims administrator’s knowledge” to the 90-day time limit.</w:t>
      </w:r>
    </w:p>
    <w:p w14:paraId="0C2E75C7" w14:textId="3957D208" w:rsidR="000E17FB" w:rsidRPr="000E17FB" w:rsidRDefault="000E17FB" w:rsidP="000E17FB">
      <w:pPr>
        <w:spacing w:after="240"/>
        <w:rPr>
          <w:rFonts w:ascii="Times New Roman" w:eastAsia="Times New Roman" w:hAnsi="Times New Roman" w:cs="Times New Roman"/>
          <w:b/>
          <w:bCs/>
          <w:sz w:val="24"/>
          <w:szCs w:val="24"/>
        </w:rPr>
      </w:pPr>
      <w:r w:rsidRPr="000E17FB">
        <w:rPr>
          <w:rFonts w:ascii="Times New Roman" w:eastAsia="Times New Roman" w:hAnsi="Times New Roman" w:cs="Times New Roman"/>
          <w:b/>
          <w:bCs/>
          <w:sz w:val="24"/>
          <w:szCs w:val="24"/>
        </w:rPr>
        <w:t>(f) The physician may continue to serve as primary treating physician until an order of the Administrative Director issues granting the petition.</w:t>
      </w:r>
    </w:p>
    <w:p w14:paraId="3B6E5FBD" w14:textId="49EFD9EB" w:rsidR="000E17FB" w:rsidRPr="000E17FB" w:rsidRDefault="000E17FB" w:rsidP="000E17FB">
      <w:pPr>
        <w:spacing w:after="240"/>
        <w:rPr>
          <w:rFonts w:ascii="Times New Roman" w:eastAsia="Times New Roman" w:hAnsi="Times New Roman" w:cs="Times New Roman"/>
          <w:b/>
          <w:bCs/>
          <w:sz w:val="24"/>
          <w:szCs w:val="24"/>
        </w:rPr>
      </w:pPr>
      <w:r w:rsidRPr="000E17FB">
        <w:rPr>
          <w:rFonts w:ascii="Times New Roman" w:eastAsia="Times New Roman" w:hAnsi="Times New Roman" w:cs="Times New Roman"/>
          <w:b/>
          <w:bCs/>
          <w:sz w:val="24"/>
          <w:szCs w:val="24"/>
        </w:rPr>
        <w:t>Comment:</w:t>
      </w:r>
    </w:p>
    <w:p w14:paraId="50608AAC" w14:textId="77777777" w:rsidR="00700D5A" w:rsidRDefault="000E17FB" w:rsidP="00321E9B">
      <w:pPr>
        <w:spacing w:after="24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The Institute supports the elimination of liability for payment for treatment by the primary treating physician while the Administrative Director considers the Petition for Change of Primary Treating Physician.</w:t>
      </w:r>
    </w:p>
    <w:p w14:paraId="0A72E95C" w14:textId="2BFF1F9A" w:rsidR="00700D5A" w:rsidRDefault="00700D5A" w:rsidP="00700D5A">
      <w:pPr>
        <w:pStyle w:val="Heading2"/>
        <w:spacing w:after="120"/>
        <w:rPr>
          <w:rFonts w:ascii="Times New Roman" w:hAnsi="Times New Roman" w:cs="Times New Roman"/>
          <w:b/>
          <w:bCs/>
          <w:color w:val="auto"/>
          <w:sz w:val="24"/>
          <w:szCs w:val="24"/>
        </w:rPr>
      </w:pPr>
      <w:r w:rsidRPr="00700D5A">
        <w:rPr>
          <w:rFonts w:ascii="Times New Roman" w:hAnsi="Times New Roman" w:cs="Times New Roman"/>
          <w:b/>
          <w:bCs/>
          <w:color w:val="auto"/>
          <w:sz w:val="24"/>
          <w:szCs w:val="24"/>
        </w:rPr>
        <w:t xml:space="preserve">§9792.6.1. </w:t>
      </w:r>
      <w:r w:rsidR="00FF345A">
        <w:rPr>
          <w:rFonts w:ascii="Times New Roman" w:hAnsi="Times New Roman" w:cs="Times New Roman"/>
          <w:b/>
          <w:bCs/>
          <w:color w:val="auto"/>
          <w:sz w:val="24"/>
          <w:szCs w:val="24"/>
        </w:rPr>
        <w:t xml:space="preserve"> </w:t>
      </w:r>
      <w:r w:rsidRPr="00700D5A">
        <w:rPr>
          <w:rFonts w:ascii="Times New Roman" w:hAnsi="Times New Roman" w:cs="Times New Roman"/>
          <w:b/>
          <w:bCs/>
          <w:color w:val="auto"/>
          <w:sz w:val="24"/>
          <w:szCs w:val="24"/>
        </w:rPr>
        <w:t xml:space="preserve">Utilization Review Standards—Definitions. </w:t>
      </w:r>
    </w:p>
    <w:p w14:paraId="756F29C3" w14:textId="77777777" w:rsidR="00700D5A" w:rsidRDefault="00700D5A" w:rsidP="00700D5A">
      <w:pPr>
        <w:spacing w:after="240"/>
        <w:rPr>
          <w:rFonts w:ascii="Times New Roman" w:hAnsi="Times New Roman" w:cs="Times New Roman"/>
          <w:b/>
          <w:bCs/>
          <w:sz w:val="24"/>
          <w:szCs w:val="24"/>
          <w:shd w:val="clear" w:color="auto" w:fill="FFFFFF"/>
        </w:rPr>
      </w:pPr>
      <w:r w:rsidRPr="00700D5A">
        <w:rPr>
          <w:rFonts w:ascii="Times New Roman" w:hAnsi="Times New Roman" w:cs="Times New Roman"/>
          <w:b/>
          <w:bCs/>
          <w:sz w:val="24"/>
          <w:szCs w:val="24"/>
          <w:shd w:val="clear" w:color="auto" w:fill="FFFFFF"/>
        </w:rPr>
        <w:t xml:space="preserve">The following definitions apply to any request for authorization of medical treatment, made under Article 5.5.1 of this Subchapter, </w:t>
      </w:r>
      <w:r w:rsidRPr="00700D5A">
        <w:rPr>
          <w:rFonts w:ascii="Times New Roman" w:hAnsi="Times New Roman" w:cs="Times New Roman"/>
          <w:b/>
          <w:bCs/>
          <w:strike/>
          <w:sz w:val="24"/>
          <w:szCs w:val="24"/>
          <w:shd w:val="clear" w:color="auto" w:fill="FFFFFF"/>
        </w:rPr>
        <w:t xml:space="preserve">for either: (1) an occupational injury or illness occurring on or after January 1, 2013; or (2) where the decision on the request for authorization of medical treatment is communicated to the requesting physician on or after July 1, 2013, </w:t>
      </w:r>
      <w:r w:rsidRPr="00700D5A">
        <w:rPr>
          <w:rFonts w:ascii="Times New Roman" w:hAnsi="Times New Roman" w:cs="Times New Roman"/>
          <w:b/>
          <w:bCs/>
          <w:sz w:val="24"/>
          <w:szCs w:val="24"/>
          <w:shd w:val="clear" w:color="auto" w:fill="FFFFFF"/>
        </w:rPr>
        <w:t xml:space="preserve">regardless of the date of injury. </w:t>
      </w:r>
    </w:p>
    <w:p w14:paraId="56D38EDB" w14:textId="3E665205" w:rsidR="00662A76" w:rsidRDefault="00D47413" w:rsidP="00662A76">
      <w:pPr>
        <w:spacing w:after="24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Comment</w:t>
      </w:r>
      <w:r w:rsidR="00662A76">
        <w:rPr>
          <w:rFonts w:ascii="Times New Roman" w:hAnsi="Times New Roman" w:cs="Times New Roman"/>
          <w:b/>
          <w:bCs/>
          <w:sz w:val="24"/>
          <w:szCs w:val="24"/>
          <w:shd w:val="clear" w:color="auto" w:fill="FFFFFF"/>
        </w:rPr>
        <w:t>:</w:t>
      </w:r>
    </w:p>
    <w:p w14:paraId="0D1C56D5" w14:textId="77777777" w:rsidR="00662A76" w:rsidRDefault="00662A76" w:rsidP="00662A76">
      <w:pPr>
        <w:spacing w:after="240"/>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 xml:space="preserve">The Institute recommends deleting the date references consistent with </w:t>
      </w:r>
      <w:r w:rsidRPr="00700D5A">
        <w:rPr>
          <w:rFonts w:ascii="Times New Roman" w:hAnsi="Times New Roman" w:cs="Times New Roman"/>
          <w:i/>
          <w:iCs/>
          <w:sz w:val="24"/>
          <w:szCs w:val="24"/>
        </w:rPr>
        <w:t>§</w:t>
      </w:r>
      <w:r w:rsidRPr="00700D5A">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 xml:space="preserve">9792.9.1, as they are no longer relevant.  </w:t>
      </w:r>
    </w:p>
    <w:p w14:paraId="37C2784B" w14:textId="68597705" w:rsidR="00700D5A" w:rsidRPr="00700D5A" w:rsidRDefault="00700D5A" w:rsidP="00700D5A">
      <w:pPr>
        <w:spacing w:after="240"/>
        <w:rPr>
          <w:rFonts w:ascii="Times New Roman" w:hAnsi="Times New Roman" w:cs="Times New Roman"/>
          <w:b/>
          <w:bCs/>
          <w:sz w:val="24"/>
          <w:szCs w:val="24"/>
        </w:rPr>
      </w:pPr>
      <w:r w:rsidRPr="00700D5A">
        <w:rPr>
          <w:rFonts w:ascii="Times New Roman" w:hAnsi="Times New Roman" w:cs="Times New Roman"/>
          <w:b/>
          <w:bCs/>
          <w:sz w:val="24"/>
          <w:szCs w:val="24"/>
        </w:rPr>
        <w:t xml:space="preserve">(d) "Course of treatment" means the course of medical treatment set forth in the treatment plan contained on the "Doctor's First Report of Occupational Injury or Illness," Form 5021, found at California Code of Regulations, title 8, section </w:t>
      </w:r>
      <w:r w:rsidRPr="00662A76">
        <w:rPr>
          <w:rFonts w:ascii="Times New Roman" w:hAnsi="Times New Roman" w:cs="Times New Roman"/>
          <w:b/>
          <w:bCs/>
          <w:strike/>
          <w:sz w:val="24"/>
          <w:szCs w:val="24"/>
        </w:rPr>
        <w:t xml:space="preserve">14006 or </w:t>
      </w:r>
      <w:r w:rsidRPr="00700D5A">
        <w:rPr>
          <w:rFonts w:ascii="Times New Roman" w:hAnsi="Times New Roman" w:cs="Times New Roman"/>
          <w:b/>
          <w:bCs/>
          <w:sz w:val="24"/>
          <w:szCs w:val="24"/>
        </w:rPr>
        <w:t xml:space="preserve">14006.1, or on the applicable physician reporting forms authorized by section 9785. </w:t>
      </w:r>
    </w:p>
    <w:p w14:paraId="175BE81C" w14:textId="791080B0" w:rsidR="00700D5A" w:rsidRDefault="00700D5A" w:rsidP="00700D5A">
      <w:pPr>
        <w:spacing w:after="24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Recommendation:</w:t>
      </w:r>
    </w:p>
    <w:p w14:paraId="0D5CE61B" w14:textId="26143E2C" w:rsidR="00700D5A" w:rsidRDefault="00700D5A" w:rsidP="00700D5A">
      <w:pPr>
        <w:spacing w:after="240"/>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 xml:space="preserve">The Institute recommends deleting the </w:t>
      </w:r>
      <w:r w:rsidR="00662A76">
        <w:rPr>
          <w:rFonts w:ascii="Times New Roman" w:hAnsi="Times New Roman" w:cs="Times New Roman"/>
          <w:i/>
          <w:iCs/>
          <w:sz w:val="24"/>
          <w:szCs w:val="24"/>
          <w:shd w:val="clear" w:color="auto" w:fill="FFFFFF"/>
        </w:rPr>
        <w:t>reference to section 14006 as this is the 1992 version of Form 502</w:t>
      </w:r>
      <w:r w:rsidR="00B707BE">
        <w:rPr>
          <w:rFonts w:ascii="Times New Roman" w:hAnsi="Times New Roman" w:cs="Times New Roman"/>
          <w:i/>
          <w:iCs/>
          <w:sz w:val="24"/>
          <w:szCs w:val="24"/>
          <w:shd w:val="clear" w:color="auto" w:fill="FFFFFF"/>
        </w:rPr>
        <w:t>1</w:t>
      </w:r>
      <w:r w:rsidR="00662A76">
        <w:rPr>
          <w:rFonts w:ascii="Times New Roman" w:hAnsi="Times New Roman" w:cs="Times New Roman"/>
          <w:i/>
          <w:iCs/>
          <w:sz w:val="24"/>
          <w:szCs w:val="24"/>
          <w:shd w:val="clear" w:color="auto" w:fill="FFFFFF"/>
        </w:rPr>
        <w:t>.  All links to the Form 502</w:t>
      </w:r>
      <w:r w:rsidR="00B707BE">
        <w:rPr>
          <w:rFonts w:ascii="Times New Roman" w:hAnsi="Times New Roman" w:cs="Times New Roman"/>
          <w:i/>
          <w:iCs/>
          <w:sz w:val="24"/>
          <w:szCs w:val="24"/>
          <w:shd w:val="clear" w:color="auto" w:fill="FFFFFF"/>
        </w:rPr>
        <w:t>1</w:t>
      </w:r>
      <w:r w:rsidR="00662A76">
        <w:rPr>
          <w:rFonts w:ascii="Times New Roman" w:hAnsi="Times New Roman" w:cs="Times New Roman"/>
          <w:i/>
          <w:iCs/>
          <w:sz w:val="24"/>
          <w:szCs w:val="24"/>
          <w:shd w:val="clear" w:color="auto" w:fill="FFFFFF"/>
        </w:rPr>
        <w:t xml:space="preserve"> are directed to the 10/2015 version in section 14006.1.</w:t>
      </w:r>
    </w:p>
    <w:p w14:paraId="5108A417" w14:textId="7EE2E352" w:rsidR="00070370" w:rsidRDefault="00070370" w:rsidP="00070370">
      <w:pPr>
        <w:spacing w:after="360"/>
        <w:rPr>
          <w:rFonts w:ascii="Times New Roman" w:hAnsi="Times New Roman" w:cs="Times New Roman"/>
          <w:b/>
          <w:bCs/>
          <w:sz w:val="24"/>
          <w:szCs w:val="24"/>
          <w:u w:val="single"/>
        </w:rPr>
      </w:pPr>
      <w:r w:rsidRPr="00070370">
        <w:rPr>
          <w:rFonts w:ascii="Times New Roman" w:hAnsi="Times New Roman" w:cs="Times New Roman"/>
          <w:b/>
          <w:bCs/>
          <w:sz w:val="24"/>
          <w:szCs w:val="24"/>
        </w:rPr>
        <w:t>(dd) “Working day” as used in this article is the same as “normal business day</w:t>
      </w:r>
      <w:r w:rsidRPr="00070370">
        <w:rPr>
          <w:rFonts w:ascii="Times New Roman" w:hAnsi="Times New Roman" w:cs="Times New Roman"/>
          <w:b/>
          <w:bCs/>
          <w:strike/>
          <w:sz w:val="24"/>
          <w:szCs w:val="24"/>
          <w:u w:val="single"/>
        </w:rPr>
        <w:t>.</w:t>
      </w:r>
      <w:r w:rsidRPr="00070370">
        <w:rPr>
          <w:rFonts w:ascii="Times New Roman" w:hAnsi="Times New Roman" w:cs="Times New Roman"/>
          <w:b/>
          <w:bCs/>
          <w:sz w:val="24"/>
          <w:szCs w:val="24"/>
        </w:rPr>
        <w:t>”</w:t>
      </w:r>
      <w:r>
        <w:rPr>
          <w:rFonts w:ascii="Times New Roman" w:hAnsi="Times New Roman" w:cs="Times New Roman"/>
          <w:b/>
          <w:bCs/>
          <w:sz w:val="24"/>
          <w:szCs w:val="24"/>
        </w:rPr>
        <w:t xml:space="preserve"> </w:t>
      </w:r>
      <w:r w:rsidRPr="00070370">
        <w:rPr>
          <w:rFonts w:ascii="Times New Roman" w:hAnsi="Times New Roman" w:cs="Times New Roman"/>
          <w:b/>
          <w:bCs/>
          <w:sz w:val="24"/>
          <w:szCs w:val="24"/>
          <w:u w:val="single"/>
        </w:rPr>
        <w:t>or “business day”</w:t>
      </w:r>
      <w:r>
        <w:rPr>
          <w:rFonts w:ascii="Times New Roman" w:hAnsi="Times New Roman" w:cs="Times New Roman"/>
          <w:b/>
          <w:bCs/>
          <w:sz w:val="24"/>
          <w:szCs w:val="24"/>
          <w:u w:val="single"/>
        </w:rPr>
        <w:t>.</w:t>
      </w:r>
      <w:r w:rsidRPr="00070370">
        <w:rPr>
          <w:rFonts w:ascii="Times New Roman" w:hAnsi="Times New Roman" w:cs="Times New Roman"/>
          <w:b/>
          <w:bCs/>
          <w:sz w:val="24"/>
          <w:szCs w:val="24"/>
          <w:u w:val="single"/>
        </w:rPr>
        <w:t xml:space="preserve"> </w:t>
      </w:r>
    </w:p>
    <w:p w14:paraId="2D1E4C79" w14:textId="77777777" w:rsidR="00830D93" w:rsidRDefault="00830D93" w:rsidP="00DC13FE">
      <w:pPr>
        <w:spacing w:after="0"/>
        <w:rPr>
          <w:rFonts w:ascii="Times New Roman" w:hAnsi="Times New Roman" w:cs="Times New Roman"/>
          <w:b/>
          <w:bCs/>
          <w:sz w:val="24"/>
          <w:szCs w:val="24"/>
        </w:rPr>
      </w:pPr>
    </w:p>
    <w:p w14:paraId="7DBA91EF" w14:textId="4B418F2B" w:rsidR="00070370" w:rsidRDefault="00070370" w:rsidP="00DC13FE">
      <w:pPr>
        <w:spacing w:after="0"/>
        <w:rPr>
          <w:rFonts w:ascii="Times New Roman" w:hAnsi="Times New Roman" w:cs="Times New Roman"/>
          <w:b/>
          <w:bCs/>
          <w:sz w:val="24"/>
          <w:szCs w:val="24"/>
        </w:rPr>
      </w:pPr>
      <w:r>
        <w:rPr>
          <w:rFonts w:ascii="Times New Roman" w:hAnsi="Times New Roman" w:cs="Times New Roman"/>
          <w:b/>
          <w:bCs/>
          <w:sz w:val="24"/>
          <w:szCs w:val="24"/>
        </w:rPr>
        <w:t>Recommendation:</w:t>
      </w:r>
    </w:p>
    <w:p w14:paraId="754B8736" w14:textId="77777777" w:rsidR="00DC13FE" w:rsidRDefault="00DC13FE" w:rsidP="00B707BE">
      <w:pPr>
        <w:spacing w:after="0"/>
        <w:rPr>
          <w:rFonts w:ascii="Times New Roman" w:hAnsi="Times New Roman" w:cs="Times New Roman"/>
          <w:b/>
          <w:bCs/>
          <w:sz w:val="24"/>
          <w:szCs w:val="24"/>
        </w:rPr>
      </w:pPr>
    </w:p>
    <w:p w14:paraId="1F6A2A71" w14:textId="2FE48933" w:rsidR="005F7788" w:rsidRDefault="00070370" w:rsidP="00070370">
      <w:pPr>
        <w:spacing w:after="360"/>
        <w:rPr>
          <w:rFonts w:ascii="Times New Roman" w:hAnsi="Times New Roman" w:cs="Times New Roman"/>
          <w:i/>
          <w:iCs/>
          <w:sz w:val="24"/>
          <w:szCs w:val="24"/>
        </w:rPr>
      </w:pPr>
      <w:r>
        <w:rPr>
          <w:rFonts w:ascii="Times New Roman" w:hAnsi="Times New Roman" w:cs="Times New Roman"/>
          <w:i/>
          <w:iCs/>
          <w:sz w:val="24"/>
          <w:szCs w:val="24"/>
        </w:rPr>
        <w:t xml:space="preserve">The Institute </w:t>
      </w:r>
      <w:r w:rsidR="00A04FA9">
        <w:rPr>
          <w:rFonts w:ascii="Times New Roman" w:hAnsi="Times New Roman" w:cs="Times New Roman"/>
          <w:i/>
          <w:iCs/>
          <w:sz w:val="24"/>
          <w:szCs w:val="24"/>
        </w:rPr>
        <w:t xml:space="preserve">supports the addition of </w:t>
      </w:r>
      <w:r w:rsidR="005F7788">
        <w:rPr>
          <w:rFonts w:ascii="Times New Roman" w:hAnsi="Times New Roman" w:cs="Times New Roman"/>
          <w:i/>
          <w:iCs/>
          <w:sz w:val="24"/>
          <w:szCs w:val="24"/>
        </w:rPr>
        <w:t>sub</w:t>
      </w:r>
      <w:r w:rsidR="00A04FA9">
        <w:rPr>
          <w:rFonts w:ascii="Times New Roman" w:hAnsi="Times New Roman" w:cs="Times New Roman"/>
          <w:i/>
          <w:iCs/>
          <w:sz w:val="24"/>
          <w:szCs w:val="24"/>
        </w:rPr>
        <w:t>section (dd) to clarify</w:t>
      </w:r>
      <w:r w:rsidR="00A81140">
        <w:rPr>
          <w:rFonts w:ascii="Times New Roman" w:hAnsi="Times New Roman" w:cs="Times New Roman"/>
          <w:i/>
          <w:iCs/>
          <w:sz w:val="24"/>
          <w:szCs w:val="24"/>
        </w:rPr>
        <w:t xml:space="preserve"> that</w:t>
      </w:r>
      <w:r w:rsidR="00A04FA9">
        <w:rPr>
          <w:rFonts w:ascii="Times New Roman" w:hAnsi="Times New Roman" w:cs="Times New Roman"/>
          <w:i/>
          <w:iCs/>
          <w:sz w:val="24"/>
          <w:szCs w:val="24"/>
        </w:rPr>
        <w:t xml:space="preserve"> “working day” is used interchangeably with “normal business day” in these regulations and </w:t>
      </w:r>
      <w:r>
        <w:rPr>
          <w:rFonts w:ascii="Times New Roman" w:hAnsi="Times New Roman" w:cs="Times New Roman"/>
          <w:i/>
          <w:iCs/>
          <w:sz w:val="24"/>
          <w:szCs w:val="24"/>
        </w:rPr>
        <w:t>recommends</w:t>
      </w:r>
      <w:r w:rsidR="00A04FA9">
        <w:rPr>
          <w:rFonts w:ascii="Times New Roman" w:hAnsi="Times New Roman" w:cs="Times New Roman"/>
          <w:i/>
          <w:iCs/>
          <w:sz w:val="24"/>
          <w:szCs w:val="24"/>
        </w:rPr>
        <w:t xml:space="preserve"> the addition of “business day” to the definition for consistency with </w:t>
      </w:r>
      <w:r w:rsidR="005F7788">
        <w:rPr>
          <w:rFonts w:ascii="Times New Roman" w:hAnsi="Times New Roman" w:cs="Times New Roman"/>
          <w:i/>
          <w:iCs/>
          <w:sz w:val="24"/>
          <w:szCs w:val="24"/>
        </w:rPr>
        <w:t>sub</w:t>
      </w:r>
      <w:r w:rsidR="00A04FA9">
        <w:rPr>
          <w:rFonts w:ascii="Times New Roman" w:hAnsi="Times New Roman" w:cs="Times New Roman"/>
          <w:i/>
          <w:iCs/>
          <w:sz w:val="24"/>
          <w:szCs w:val="24"/>
        </w:rPr>
        <w:t>section (cc).</w:t>
      </w:r>
    </w:p>
    <w:p w14:paraId="3E305B85" w14:textId="756C32A8" w:rsidR="00A81140" w:rsidRDefault="00A81140" w:rsidP="00A81140">
      <w:pPr>
        <w:pStyle w:val="Heading2"/>
        <w:spacing w:after="120"/>
        <w:rPr>
          <w:rFonts w:ascii="Times New Roman" w:hAnsi="Times New Roman" w:cs="Times New Roman"/>
          <w:b/>
          <w:bCs/>
          <w:color w:val="auto"/>
          <w:sz w:val="24"/>
          <w:szCs w:val="24"/>
        </w:rPr>
      </w:pPr>
      <w:r w:rsidRPr="00562420">
        <w:rPr>
          <w:rFonts w:ascii="Times New Roman" w:hAnsi="Times New Roman" w:cs="Times New Roman"/>
          <w:b/>
          <w:bCs/>
          <w:color w:val="auto"/>
          <w:sz w:val="24"/>
          <w:szCs w:val="24"/>
        </w:rPr>
        <w:t>§9792</w:t>
      </w:r>
      <w:r w:rsidRPr="00A81140">
        <w:rPr>
          <w:rFonts w:ascii="Times New Roman" w:hAnsi="Times New Roman" w:cs="Times New Roman"/>
          <w:b/>
          <w:bCs/>
          <w:color w:val="auto"/>
          <w:sz w:val="24"/>
          <w:szCs w:val="24"/>
        </w:rPr>
        <w:t xml:space="preserve">.7. </w:t>
      </w:r>
      <w:r w:rsidR="00FF345A">
        <w:rPr>
          <w:rFonts w:ascii="Times New Roman" w:hAnsi="Times New Roman" w:cs="Times New Roman"/>
          <w:b/>
          <w:bCs/>
          <w:color w:val="auto"/>
          <w:sz w:val="24"/>
          <w:szCs w:val="24"/>
        </w:rPr>
        <w:t xml:space="preserve"> </w:t>
      </w:r>
      <w:r w:rsidRPr="00A81140">
        <w:rPr>
          <w:rFonts w:ascii="Times New Roman" w:hAnsi="Times New Roman" w:cs="Times New Roman"/>
          <w:b/>
          <w:bCs/>
          <w:color w:val="auto"/>
          <w:sz w:val="24"/>
          <w:szCs w:val="24"/>
        </w:rPr>
        <w:t>Utilization Review Standards</w:t>
      </w:r>
      <w:r>
        <w:rPr>
          <w:rFonts w:ascii="Times New Roman" w:hAnsi="Times New Roman" w:cs="Times New Roman"/>
          <w:b/>
          <w:bCs/>
          <w:color w:val="auto"/>
          <w:sz w:val="24"/>
          <w:szCs w:val="24"/>
        </w:rPr>
        <w:t>—</w:t>
      </w:r>
      <w:r w:rsidRPr="00A81140">
        <w:rPr>
          <w:rFonts w:ascii="Times New Roman" w:hAnsi="Times New Roman" w:cs="Times New Roman"/>
          <w:b/>
          <w:bCs/>
          <w:color w:val="auto"/>
          <w:sz w:val="24"/>
          <w:szCs w:val="24"/>
        </w:rPr>
        <w:t>Applicability</w:t>
      </w:r>
    </w:p>
    <w:p w14:paraId="74864AC8" w14:textId="42A3A3DE" w:rsidR="00A81140" w:rsidRPr="00A81140" w:rsidRDefault="00A81140" w:rsidP="00A81140">
      <w:pPr>
        <w:spacing w:after="240"/>
        <w:rPr>
          <w:rFonts w:ascii="Times New Roman" w:eastAsia="Times New Roman" w:hAnsi="Times New Roman" w:cs="Times New Roman"/>
          <w:b/>
          <w:bCs/>
          <w:color w:val="000000"/>
          <w:sz w:val="24"/>
          <w:szCs w:val="24"/>
        </w:rPr>
      </w:pPr>
      <w:r w:rsidRPr="00A81140">
        <w:rPr>
          <w:rFonts w:ascii="Times New Roman" w:eastAsia="Times New Roman" w:hAnsi="Times New Roman" w:cs="Times New Roman"/>
          <w:b/>
          <w:bCs/>
          <w:color w:val="000000"/>
          <w:sz w:val="24"/>
          <w:szCs w:val="24"/>
        </w:rPr>
        <w:t xml:space="preserve">(c)(2) Utilization review plans that modify or deny treatment requests shall submit with their plan a completed DWC Form UR-01, "Application for Approval as Utilization Review Plan," set forth in section 9792.7.1, with an original signature by </w:t>
      </w:r>
      <w:r w:rsidRPr="00A81140">
        <w:rPr>
          <w:rFonts w:ascii="Times New Roman" w:eastAsia="Times New Roman" w:hAnsi="Times New Roman" w:cs="Times New Roman"/>
          <w:b/>
          <w:bCs/>
          <w:sz w:val="24"/>
          <w:szCs w:val="24"/>
        </w:rPr>
        <w:t>the applicant’s medical director.  The utilization review plan shall be submitted in compact discs or flash drives in word-searchable PDF format. The hard copy of the completed, signed original shall be maintained by the applicant and</w:t>
      </w:r>
      <w:r w:rsidRPr="00A81140">
        <w:rPr>
          <w:rFonts w:ascii="Times New Roman" w:eastAsia="Times New Roman" w:hAnsi="Times New Roman" w:cs="Times New Roman"/>
          <w:b/>
          <w:bCs/>
          <w:color w:val="000000"/>
          <w:sz w:val="24"/>
          <w:szCs w:val="24"/>
        </w:rPr>
        <w:t xml:space="preserve"> made available for review by the Administrative Director upon request. Electronic signatures in compliance with </w:t>
      </w:r>
      <w:r w:rsidRPr="00A81140">
        <w:rPr>
          <w:rFonts w:ascii="Times New Roman" w:eastAsia="Times New Roman" w:hAnsi="Times New Roman" w:cs="Times New Roman"/>
          <w:b/>
          <w:bCs/>
          <w:strike/>
          <w:color w:val="000000"/>
          <w:sz w:val="24"/>
          <w:szCs w:val="24"/>
        </w:rPr>
        <w:t>California Government Code section 16.5</w:t>
      </w:r>
      <w:r>
        <w:rPr>
          <w:rFonts w:ascii="Times New Roman" w:eastAsia="Times New Roman" w:hAnsi="Times New Roman" w:cs="Times New Roman"/>
          <w:b/>
          <w:bCs/>
          <w:color w:val="000000"/>
          <w:sz w:val="24"/>
          <w:szCs w:val="24"/>
        </w:rPr>
        <w:t xml:space="preserve"> </w:t>
      </w:r>
      <w:r w:rsidRPr="00A81140">
        <w:rPr>
          <w:rFonts w:ascii="Times New Roman" w:eastAsia="Times New Roman" w:hAnsi="Times New Roman" w:cs="Times New Roman"/>
          <w:b/>
          <w:bCs/>
          <w:color w:val="000000"/>
          <w:sz w:val="24"/>
          <w:szCs w:val="24"/>
          <w:u w:val="single"/>
        </w:rPr>
        <w:t>Civil Code section 1633.2</w:t>
      </w:r>
      <w:r>
        <w:rPr>
          <w:rFonts w:ascii="Times New Roman" w:eastAsia="Times New Roman" w:hAnsi="Times New Roman" w:cs="Times New Roman"/>
          <w:b/>
          <w:bCs/>
          <w:color w:val="000000"/>
          <w:sz w:val="24"/>
          <w:szCs w:val="24"/>
        </w:rPr>
        <w:t xml:space="preserve"> </w:t>
      </w:r>
      <w:r w:rsidRPr="00A81140">
        <w:rPr>
          <w:rFonts w:ascii="Times New Roman" w:eastAsia="Times New Roman" w:hAnsi="Times New Roman" w:cs="Times New Roman"/>
          <w:b/>
          <w:bCs/>
          <w:color w:val="000000"/>
          <w:sz w:val="24"/>
          <w:szCs w:val="24"/>
        </w:rPr>
        <w:t>are acceptable.</w:t>
      </w:r>
    </w:p>
    <w:p w14:paraId="25234D6D" w14:textId="6795E438" w:rsidR="00A81140" w:rsidRDefault="00A81140" w:rsidP="00A81140">
      <w:pPr>
        <w:rPr>
          <w:rFonts w:ascii="Times New Roman" w:hAnsi="Times New Roman" w:cs="Times New Roman"/>
          <w:b/>
          <w:bCs/>
          <w:sz w:val="24"/>
          <w:szCs w:val="24"/>
        </w:rPr>
      </w:pPr>
      <w:r w:rsidRPr="00A81140">
        <w:rPr>
          <w:rFonts w:ascii="Times New Roman" w:hAnsi="Times New Roman" w:cs="Times New Roman"/>
          <w:b/>
          <w:bCs/>
          <w:sz w:val="24"/>
          <w:szCs w:val="24"/>
        </w:rPr>
        <w:t>Recommendation:</w:t>
      </w:r>
    </w:p>
    <w:p w14:paraId="2124824A" w14:textId="3A95F311" w:rsidR="00A81140" w:rsidRDefault="00A81140" w:rsidP="00DB3789">
      <w:pPr>
        <w:spacing w:after="240"/>
        <w:rPr>
          <w:rFonts w:ascii="Times New Roman" w:hAnsi="Times New Roman" w:cs="Times New Roman"/>
          <w:i/>
          <w:iCs/>
          <w:sz w:val="24"/>
          <w:szCs w:val="24"/>
        </w:rPr>
      </w:pPr>
      <w:r>
        <w:rPr>
          <w:rFonts w:ascii="Times New Roman" w:hAnsi="Times New Roman" w:cs="Times New Roman"/>
          <w:i/>
          <w:iCs/>
          <w:sz w:val="24"/>
          <w:szCs w:val="24"/>
        </w:rPr>
        <w:t>The Institute recommends using the Uniform Electronic Transactions Act</w:t>
      </w:r>
      <w:r w:rsidR="00093DB1">
        <w:rPr>
          <w:rFonts w:ascii="Times New Roman" w:hAnsi="Times New Roman" w:cs="Times New Roman"/>
          <w:i/>
          <w:iCs/>
          <w:sz w:val="24"/>
          <w:szCs w:val="24"/>
        </w:rPr>
        <w:t>,</w:t>
      </w:r>
      <w:r>
        <w:rPr>
          <w:rFonts w:ascii="Times New Roman" w:hAnsi="Times New Roman" w:cs="Times New Roman"/>
          <w:i/>
          <w:iCs/>
          <w:sz w:val="24"/>
          <w:szCs w:val="24"/>
        </w:rPr>
        <w:t xml:space="preserve"> Civil Code section 1633.2 as the standard for electronic signatures, consistent with the proposed language in AB 2337 for electronic signature</w:t>
      </w:r>
      <w:r w:rsidR="00093DB1">
        <w:rPr>
          <w:rFonts w:ascii="Times New Roman" w:hAnsi="Times New Roman" w:cs="Times New Roman"/>
          <w:i/>
          <w:iCs/>
          <w:sz w:val="24"/>
          <w:szCs w:val="24"/>
        </w:rPr>
        <w:t>s</w:t>
      </w:r>
      <w:r>
        <w:rPr>
          <w:rFonts w:ascii="Times New Roman" w:hAnsi="Times New Roman" w:cs="Times New Roman"/>
          <w:i/>
          <w:iCs/>
          <w:sz w:val="24"/>
          <w:szCs w:val="24"/>
        </w:rPr>
        <w:t xml:space="preserve"> </w:t>
      </w:r>
      <w:r w:rsidR="00DB3789">
        <w:rPr>
          <w:rFonts w:ascii="Times New Roman" w:hAnsi="Times New Roman" w:cs="Times New Roman"/>
          <w:i/>
          <w:iCs/>
          <w:sz w:val="24"/>
          <w:szCs w:val="24"/>
        </w:rPr>
        <w:t>on</w:t>
      </w:r>
      <w:r>
        <w:rPr>
          <w:rFonts w:ascii="Times New Roman" w:hAnsi="Times New Roman" w:cs="Times New Roman"/>
          <w:i/>
          <w:iCs/>
          <w:sz w:val="24"/>
          <w:szCs w:val="24"/>
        </w:rPr>
        <w:t xml:space="preserve"> Compromise and Release agreements.  </w:t>
      </w:r>
    </w:p>
    <w:p w14:paraId="1AD6C6E8" w14:textId="52E03D75" w:rsidR="00365279" w:rsidRDefault="00365279" w:rsidP="00365279">
      <w:pPr>
        <w:pStyle w:val="Heading2"/>
        <w:spacing w:after="120"/>
        <w:rPr>
          <w:rStyle w:val="Strong"/>
          <w:rFonts w:ascii="Times New Roman" w:hAnsi="Times New Roman" w:cs="Times New Roman"/>
          <w:bCs w:val="0"/>
          <w:color w:val="auto"/>
          <w:sz w:val="24"/>
          <w:szCs w:val="24"/>
          <w:shd w:val="clear" w:color="auto" w:fill="FFFFFF"/>
        </w:rPr>
      </w:pPr>
      <w:r w:rsidRPr="00365279">
        <w:rPr>
          <w:rStyle w:val="Strong"/>
          <w:rFonts w:ascii="Times New Roman" w:hAnsi="Times New Roman" w:cs="Times New Roman"/>
          <w:bCs w:val="0"/>
          <w:color w:val="auto"/>
          <w:sz w:val="24"/>
          <w:szCs w:val="24"/>
          <w:shd w:val="clear" w:color="auto" w:fill="FFFFFF"/>
        </w:rPr>
        <w:t xml:space="preserve">§9792.9. </w:t>
      </w:r>
      <w:r w:rsidR="00FF345A">
        <w:rPr>
          <w:rStyle w:val="Strong"/>
          <w:rFonts w:ascii="Times New Roman" w:hAnsi="Times New Roman" w:cs="Times New Roman"/>
          <w:bCs w:val="0"/>
          <w:color w:val="auto"/>
          <w:sz w:val="24"/>
          <w:szCs w:val="24"/>
          <w:shd w:val="clear" w:color="auto" w:fill="FFFFFF"/>
        </w:rPr>
        <w:t xml:space="preserve"> </w:t>
      </w:r>
      <w:r w:rsidRPr="00365279">
        <w:rPr>
          <w:rStyle w:val="Strong"/>
          <w:rFonts w:ascii="Times New Roman" w:hAnsi="Times New Roman" w:cs="Times New Roman"/>
          <w:bCs w:val="0"/>
          <w:color w:val="auto"/>
          <w:sz w:val="24"/>
          <w:szCs w:val="24"/>
          <w:shd w:val="clear" w:color="auto" w:fill="FFFFFF"/>
        </w:rPr>
        <w:t>Utilization Review Standards</w:t>
      </w:r>
      <w:r w:rsidR="00830D93">
        <w:rPr>
          <w:rStyle w:val="Strong"/>
          <w:rFonts w:ascii="Times New Roman" w:hAnsi="Times New Roman" w:cs="Times New Roman"/>
          <w:bCs w:val="0"/>
          <w:color w:val="auto"/>
          <w:sz w:val="24"/>
          <w:szCs w:val="24"/>
          <w:shd w:val="clear" w:color="auto" w:fill="FFFFFF"/>
        </w:rPr>
        <w:t xml:space="preserve"> </w:t>
      </w:r>
      <w:r w:rsidRPr="00365279">
        <w:rPr>
          <w:rStyle w:val="Strong"/>
          <w:rFonts w:ascii="Times New Roman" w:hAnsi="Times New Roman" w:cs="Times New Roman"/>
          <w:bCs w:val="0"/>
          <w:color w:val="auto"/>
          <w:sz w:val="24"/>
          <w:szCs w:val="24"/>
          <w:shd w:val="clear" w:color="auto" w:fill="FFFFFF"/>
        </w:rPr>
        <w:t>-</w:t>
      </w:r>
      <w:r w:rsidR="00830D93">
        <w:rPr>
          <w:rStyle w:val="Strong"/>
          <w:rFonts w:ascii="Times New Roman" w:hAnsi="Times New Roman" w:cs="Times New Roman"/>
          <w:bCs w:val="0"/>
          <w:color w:val="auto"/>
          <w:sz w:val="24"/>
          <w:szCs w:val="24"/>
          <w:shd w:val="clear" w:color="auto" w:fill="FFFFFF"/>
        </w:rPr>
        <w:t xml:space="preserve"> </w:t>
      </w:r>
      <w:r w:rsidRPr="00365279">
        <w:rPr>
          <w:rStyle w:val="Strong"/>
          <w:rFonts w:ascii="Times New Roman" w:hAnsi="Times New Roman" w:cs="Times New Roman"/>
          <w:bCs w:val="0"/>
          <w:color w:val="auto"/>
          <w:sz w:val="24"/>
          <w:szCs w:val="24"/>
          <w:shd w:val="clear" w:color="auto" w:fill="FFFFFF"/>
        </w:rPr>
        <w:t>Timeframe, Procedures and Notice Content - For Injuries Occurring Prior to January 1, 2013, Where the Request for Authorization is Received Prior to July 1, 2013.</w:t>
      </w:r>
    </w:p>
    <w:p w14:paraId="40446747" w14:textId="19AF0994" w:rsidR="00365279" w:rsidRDefault="00365279" w:rsidP="00365279">
      <w:pPr>
        <w:rPr>
          <w:rFonts w:ascii="Times New Roman" w:hAnsi="Times New Roman" w:cs="Times New Roman"/>
          <w:b/>
          <w:bCs/>
          <w:sz w:val="24"/>
          <w:szCs w:val="24"/>
        </w:rPr>
      </w:pPr>
      <w:r>
        <w:rPr>
          <w:rFonts w:ascii="Times New Roman" w:hAnsi="Times New Roman" w:cs="Times New Roman"/>
          <w:b/>
          <w:bCs/>
          <w:sz w:val="24"/>
          <w:szCs w:val="24"/>
        </w:rPr>
        <w:t xml:space="preserve">Comment:  </w:t>
      </w:r>
    </w:p>
    <w:p w14:paraId="0B202E9A" w14:textId="61B488C4" w:rsidR="00365279" w:rsidRDefault="00365279" w:rsidP="00830D93">
      <w:pPr>
        <w:spacing w:after="0"/>
        <w:rPr>
          <w:rStyle w:val="Strong"/>
          <w:rFonts w:ascii="Times New Roman" w:hAnsi="Times New Roman" w:cs="Times New Roman"/>
          <w:b w:val="0"/>
          <w:bCs w:val="0"/>
          <w:i/>
          <w:iCs/>
          <w:sz w:val="24"/>
          <w:szCs w:val="24"/>
          <w:shd w:val="clear" w:color="auto" w:fill="FFFFFF"/>
        </w:rPr>
      </w:pPr>
      <w:r w:rsidRPr="003C3C77">
        <w:rPr>
          <w:rFonts w:ascii="Times New Roman" w:hAnsi="Times New Roman" w:cs="Times New Roman"/>
          <w:i/>
          <w:iCs/>
          <w:sz w:val="24"/>
          <w:szCs w:val="24"/>
        </w:rPr>
        <w:t xml:space="preserve">The Institute supports the deletion of </w:t>
      </w:r>
      <w:r w:rsidRPr="003C3C77">
        <w:rPr>
          <w:rStyle w:val="Strong"/>
          <w:rFonts w:ascii="Times New Roman" w:hAnsi="Times New Roman" w:cs="Times New Roman"/>
          <w:b w:val="0"/>
          <w:bCs w:val="0"/>
          <w:i/>
          <w:iCs/>
          <w:sz w:val="24"/>
          <w:szCs w:val="24"/>
          <w:shd w:val="clear" w:color="auto" w:fill="FFFFFF"/>
        </w:rPr>
        <w:t>§ 9792.9</w:t>
      </w:r>
      <w:r w:rsidR="003C3C77">
        <w:rPr>
          <w:rStyle w:val="Strong"/>
          <w:rFonts w:ascii="Times New Roman" w:hAnsi="Times New Roman" w:cs="Times New Roman"/>
          <w:b w:val="0"/>
          <w:bCs w:val="0"/>
          <w:i/>
          <w:iCs/>
          <w:sz w:val="24"/>
          <w:szCs w:val="24"/>
          <w:shd w:val="clear" w:color="auto" w:fill="FFFFFF"/>
        </w:rPr>
        <w:t xml:space="preserve"> to avoid redundancy.</w:t>
      </w:r>
    </w:p>
    <w:p w14:paraId="5D8C78AD" w14:textId="77777777" w:rsidR="00830D93" w:rsidRDefault="00830D93" w:rsidP="00830D93">
      <w:pPr>
        <w:spacing w:after="0"/>
        <w:rPr>
          <w:rStyle w:val="Strong"/>
          <w:rFonts w:ascii="Times New Roman" w:hAnsi="Times New Roman" w:cs="Times New Roman"/>
          <w:b w:val="0"/>
          <w:bCs w:val="0"/>
          <w:i/>
          <w:iCs/>
          <w:sz w:val="24"/>
          <w:szCs w:val="24"/>
          <w:shd w:val="clear" w:color="auto" w:fill="FFFFFF"/>
        </w:rPr>
      </w:pPr>
    </w:p>
    <w:p w14:paraId="477F667A" w14:textId="7FA29707" w:rsidR="008B1074" w:rsidRPr="007F14F3" w:rsidRDefault="008B1074" w:rsidP="008B1074">
      <w:pPr>
        <w:spacing w:after="240"/>
        <w:rPr>
          <w:rFonts w:ascii="Times New Roman" w:hAnsi="Times New Roman" w:cs="Times New Roman"/>
          <w:b/>
          <w:bCs/>
          <w:sz w:val="24"/>
          <w:szCs w:val="24"/>
        </w:rPr>
      </w:pPr>
      <w:r w:rsidRPr="007F14F3">
        <w:rPr>
          <w:rFonts w:ascii="Times New Roman" w:hAnsi="Times New Roman" w:cs="Times New Roman"/>
          <w:b/>
          <w:bCs/>
          <w:sz w:val="24"/>
          <w:szCs w:val="24"/>
        </w:rPr>
        <w:t xml:space="preserve">§9792.9.4. </w:t>
      </w:r>
      <w:r w:rsidR="00FF345A">
        <w:rPr>
          <w:rFonts w:ascii="Times New Roman" w:hAnsi="Times New Roman" w:cs="Times New Roman"/>
          <w:b/>
          <w:bCs/>
          <w:sz w:val="24"/>
          <w:szCs w:val="24"/>
        </w:rPr>
        <w:t xml:space="preserve"> </w:t>
      </w:r>
      <w:r w:rsidRPr="007F14F3">
        <w:rPr>
          <w:rFonts w:ascii="Times New Roman" w:hAnsi="Times New Roman" w:cs="Times New Roman"/>
          <w:b/>
          <w:bCs/>
          <w:sz w:val="24"/>
          <w:szCs w:val="24"/>
        </w:rPr>
        <w:t xml:space="preserve">Utilization Review — Decisions to Approve a Request for Authorization. </w:t>
      </w:r>
    </w:p>
    <w:p w14:paraId="60645F53" w14:textId="736A0D1B" w:rsidR="008B1074" w:rsidRPr="007F14F3" w:rsidRDefault="008B1074" w:rsidP="008B1074">
      <w:pPr>
        <w:spacing w:after="240"/>
        <w:rPr>
          <w:rFonts w:ascii="Times New Roman" w:hAnsi="Times New Roman" w:cs="Times New Roman"/>
          <w:b/>
          <w:bCs/>
          <w:sz w:val="24"/>
          <w:szCs w:val="24"/>
        </w:rPr>
      </w:pPr>
      <w:r w:rsidRPr="007F14F3">
        <w:rPr>
          <w:rFonts w:ascii="Times New Roman" w:hAnsi="Times New Roman" w:cs="Times New Roman"/>
          <w:b/>
          <w:bCs/>
          <w:sz w:val="24"/>
          <w:szCs w:val="24"/>
        </w:rPr>
        <w:t>(b) For prospective, concurrent, or expedited review, a decision to approve a request for authorization of treatment shall be initially communicated to the requesting physician within 24 hours of the decision by telephone, facsimile, or, if agreed to by the parties, secure electronic mail. If the initial communication is by telephone, written communication shall issue to the requesting physician within 24 hours of the decision for concurrent review and within two (2) business days for prospective review.</w:t>
      </w:r>
    </w:p>
    <w:p w14:paraId="12D2EDA3" w14:textId="412C3D77" w:rsidR="008B1074" w:rsidRDefault="008B1074" w:rsidP="008B1074">
      <w:pPr>
        <w:spacing w:after="240"/>
        <w:rPr>
          <w:rFonts w:ascii="Times New Roman" w:hAnsi="Times New Roman" w:cs="Times New Roman"/>
          <w:b/>
          <w:bCs/>
          <w:sz w:val="24"/>
          <w:szCs w:val="24"/>
        </w:rPr>
      </w:pPr>
      <w:r>
        <w:rPr>
          <w:rFonts w:ascii="Times New Roman" w:hAnsi="Times New Roman" w:cs="Times New Roman"/>
          <w:b/>
          <w:bCs/>
          <w:sz w:val="24"/>
          <w:szCs w:val="24"/>
        </w:rPr>
        <w:t>Comment:</w:t>
      </w:r>
    </w:p>
    <w:p w14:paraId="58283C69" w14:textId="482059D0" w:rsidR="008B1074" w:rsidRDefault="008B1074" w:rsidP="008B1074">
      <w:pPr>
        <w:spacing w:after="240"/>
        <w:rPr>
          <w:rFonts w:ascii="Times New Roman" w:hAnsi="Times New Roman" w:cs="Times New Roman"/>
          <w:i/>
          <w:iCs/>
          <w:sz w:val="24"/>
          <w:szCs w:val="24"/>
        </w:rPr>
      </w:pPr>
      <w:r>
        <w:rPr>
          <w:rFonts w:ascii="Times New Roman" w:hAnsi="Times New Roman" w:cs="Times New Roman"/>
          <w:i/>
          <w:iCs/>
          <w:sz w:val="24"/>
          <w:szCs w:val="24"/>
        </w:rPr>
        <w:t xml:space="preserve">The Institute supports the clarifications to the manner and the timeframe within which approval decisions should be communicated. </w:t>
      </w:r>
    </w:p>
    <w:p w14:paraId="08D53F63" w14:textId="77777777" w:rsidR="00985165" w:rsidRDefault="00985165" w:rsidP="00D15EDD">
      <w:pPr>
        <w:spacing w:after="240"/>
        <w:rPr>
          <w:rFonts w:ascii="Times New Roman" w:hAnsi="Times New Roman" w:cs="Times New Roman"/>
          <w:b/>
          <w:bCs/>
          <w:sz w:val="24"/>
          <w:szCs w:val="24"/>
        </w:rPr>
      </w:pPr>
    </w:p>
    <w:p w14:paraId="69D08372" w14:textId="77777777" w:rsidR="00985165" w:rsidRDefault="00985165" w:rsidP="00830D93">
      <w:pPr>
        <w:spacing w:after="0"/>
        <w:rPr>
          <w:rFonts w:ascii="Times New Roman" w:hAnsi="Times New Roman" w:cs="Times New Roman"/>
          <w:b/>
          <w:bCs/>
          <w:sz w:val="24"/>
          <w:szCs w:val="24"/>
        </w:rPr>
      </w:pPr>
    </w:p>
    <w:p w14:paraId="150F3B5C" w14:textId="1B88EC78" w:rsidR="00D15EDD" w:rsidRPr="007F14F3" w:rsidRDefault="00D15EDD" w:rsidP="00D15EDD">
      <w:pPr>
        <w:spacing w:after="240"/>
        <w:rPr>
          <w:rFonts w:ascii="Times New Roman" w:hAnsi="Times New Roman" w:cs="Times New Roman"/>
          <w:b/>
          <w:bCs/>
          <w:sz w:val="24"/>
          <w:szCs w:val="24"/>
        </w:rPr>
      </w:pPr>
      <w:r w:rsidRPr="007F14F3">
        <w:rPr>
          <w:rFonts w:ascii="Times New Roman" w:hAnsi="Times New Roman" w:cs="Times New Roman"/>
          <w:b/>
          <w:bCs/>
          <w:sz w:val="24"/>
          <w:szCs w:val="24"/>
        </w:rPr>
        <w:t xml:space="preserve">§9792.9.7. </w:t>
      </w:r>
      <w:r w:rsidR="00FF345A">
        <w:rPr>
          <w:rFonts w:ascii="Times New Roman" w:hAnsi="Times New Roman" w:cs="Times New Roman"/>
          <w:b/>
          <w:bCs/>
          <w:sz w:val="24"/>
          <w:szCs w:val="24"/>
        </w:rPr>
        <w:t xml:space="preserve"> </w:t>
      </w:r>
      <w:r w:rsidRPr="007F14F3">
        <w:rPr>
          <w:rFonts w:ascii="Times New Roman" w:hAnsi="Times New Roman" w:cs="Times New Roman"/>
          <w:b/>
          <w:bCs/>
          <w:sz w:val="24"/>
          <w:szCs w:val="24"/>
        </w:rPr>
        <w:t>Utilization Review – Medical Treatment – First 30 Days of the Date of Injury.</w:t>
      </w:r>
    </w:p>
    <w:p w14:paraId="546FD366" w14:textId="1F63FA42" w:rsidR="007F14F3" w:rsidRDefault="00EE70CB" w:rsidP="007F14F3">
      <w:pPr>
        <w:spacing w:after="240"/>
        <w:rPr>
          <w:rFonts w:ascii="Times New Roman" w:hAnsi="Times New Roman" w:cs="Times New Roman"/>
          <w:b/>
          <w:bCs/>
          <w:strike/>
          <w:sz w:val="24"/>
          <w:szCs w:val="24"/>
        </w:rPr>
      </w:pPr>
      <w:r>
        <w:rPr>
          <w:rFonts w:ascii="Times New Roman" w:hAnsi="Times New Roman" w:cs="Times New Roman"/>
          <w:b/>
          <w:bCs/>
          <w:sz w:val="24"/>
          <w:szCs w:val="24"/>
        </w:rPr>
        <w:t>(a)</w:t>
      </w:r>
      <w:r w:rsidR="00D15EDD" w:rsidRPr="00B24562">
        <w:rPr>
          <w:rFonts w:ascii="Times New Roman" w:hAnsi="Times New Roman" w:cs="Times New Roman"/>
          <w:b/>
          <w:bCs/>
          <w:sz w:val="24"/>
          <w:szCs w:val="24"/>
        </w:rPr>
        <w:t xml:space="preserve">(4) All treatment or services anticipated to be provided to the injured worker in the first 30 days after the date of injury, including the exempt drugs prescribed to the injured worker under the MTUS Drug Formulary, are set forth in </w:t>
      </w:r>
      <w:r w:rsidR="00B24562" w:rsidRPr="00B24562">
        <w:rPr>
          <w:rFonts w:ascii="Times New Roman" w:hAnsi="Times New Roman" w:cs="Times New Roman"/>
          <w:b/>
          <w:bCs/>
          <w:sz w:val="24"/>
          <w:szCs w:val="24"/>
          <w:u w:val="single"/>
        </w:rPr>
        <w:t>the “Doctor’s First Report of Occupational Injury or Illness”</w:t>
      </w:r>
      <w:r w:rsidR="00CB56E5">
        <w:rPr>
          <w:rFonts w:ascii="Times New Roman" w:hAnsi="Times New Roman" w:cs="Times New Roman"/>
          <w:b/>
          <w:bCs/>
          <w:sz w:val="24"/>
          <w:szCs w:val="24"/>
          <w:u w:val="single"/>
        </w:rPr>
        <w:t xml:space="preserve"> by the initial treating physician</w:t>
      </w:r>
      <w:r w:rsidR="005C37F5">
        <w:rPr>
          <w:rFonts w:ascii="Times New Roman" w:hAnsi="Times New Roman" w:cs="Times New Roman"/>
          <w:b/>
          <w:bCs/>
          <w:sz w:val="24"/>
          <w:szCs w:val="24"/>
          <w:u w:val="single"/>
        </w:rPr>
        <w:t xml:space="preserve"> or</w:t>
      </w:r>
      <w:r w:rsidR="00CB56E5">
        <w:rPr>
          <w:rFonts w:ascii="Times New Roman" w:hAnsi="Times New Roman" w:cs="Times New Roman"/>
          <w:b/>
          <w:bCs/>
          <w:sz w:val="24"/>
          <w:szCs w:val="24"/>
          <w:u w:val="single"/>
        </w:rPr>
        <w:t xml:space="preserve"> in the PR-1 by subsequent treating physicians.</w:t>
      </w:r>
      <w:r w:rsidR="00B24562" w:rsidRPr="00CB56E5">
        <w:rPr>
          <w:rFonts w:ascii="Times New Roman" w:hAnsi="Times New Roman" w:cs="Times New Roman"/>
          <w:b/>
          <w:bCs/>
          <w:sz w:val="24"/>
          <w:szCs w:val="24"/>
        </w:rPr>
        <w:t xml:space="preserve"> </w:t>
      </w:r>
      <w:r w:rsidR="00D15EDD" w:rsidRPr="007F14F3">
        <w:rPr>
          <w:rFonts w:ascii="Times New Roman" w:hAnsi="Times New Roman" w:cs="Times New Roman"/>
          <w:b/>
          <w:bCs/>
          <w:strike/>
          <w:sz w:val="24"/>
          <w:szCs w:val="24"/>
        </w:rPr>
        <w:t xml:space="preserve">a request for authorization provided to the claims administrator in accordance with section 9785(h). The form shall be submitted to the </w:t>
      </w:r>
      <w:proofErr w:type="gramStart"/>
      <w:r w:rsidR="00D15EDD" w:rsidRPr="007F14F3">
        <w:rPr>
          <w:rFonts w:ascii="Times New Roman" w:hAnsi="Times New Roman" w:cs="Times New Roman"/>
          <w:b/>
          <w:bCs/>
          <w:strike/>
          <w:sz w:val="24"/>
          <w:szCs w:val="24"/>
        </w:rPr>
        <w:t>claims</w:t>
      </w:r>
      <w:proofErr w:type="gramEnd"/>
      <w:r w:rsidR="00D15EDD" w:rsidRPr="007F14F3">
        <w:rPr>
          <w:rFonts w:ascii="Times New Roman" w:hAnsi="Times New Roman" w:cs="Times New Roman"/>
          <w:b/>
          <w:bCs/>
          <w:strike/>
          <w:sz w:val="24"/>
          <w:szCs w:val="24"/>
        </w:rPr>
        <w:t xml:space="preserve"> administrator concurrent with the Doctor's First Report of Occupational Injury or Illness.</w:t>
      </w:r>
      <w:r w:rsidR="00D15EDD" w:rsidRPr="00B24562">
        <w:rPr>
          <w:rFonts w:ascii="Times New Roman" w:hAnsi="Times New Roman" w:cs="Times New Roman"/>
          <w:b/>
          <w:bCs/>
          <w:sz w:val="24"/>
          <w:szCs w:val="24"/>
        </w:rPr>
        <w:t xml:space="preserve"> </w:t>
      </w:r>
      <w:r w:rsidR="00D15EDD" w:rsidRPr="00CB56E5">
        <w:rPr>
          <w:rFonts w:ascii="Times New Roman" w:hAnsi="Times New Roman" w:cs="Times New Roman"/>
          <w:b/>
          <w:bCs/>
          <w:strike/>
          <w:sz w:val="24"/>
          <w:szCs w:val="24"/>
        </w:rPr>
        <w:t>Subsequent treating physicians during the 30-day period shall submit a request for authorization following</w:t>
      </w:r>
      <w:r w:rsidR="007F14F3" w:rsidRPr="00CB56E5">
        <w:rPr>
          <w:rFonts w:ascii="Times New Roman" w:hAnsi="Times New Roman" w:cs="Times New Roman"/>
          <w:b/>
          <w:bCs/>
          <w:strike/>
          <w:sz w:val="24"/>
          <w:szCs w:val="24"/>
        </w:rPr>
        <w:t xml:space="preserve"> their first visit with the injured worker indicating all treatment being rendered.</w:t>
      </w:r>
    </w:p>
    <w:p w14:paraId="4647EAE6" w14:textId="443BC796" w:rsidR="007F14F3" w:rsidRDefault="007F14F3" w:rsidP="007F14F3">
      <w:pPr>
        <w:spacing w:after="240"/>
        <w:rPr>
          <w:rFonts w:ascii="Times New Roman" w:hAnsi="Times New Roman" w:cs="Times New Roman"/>
          <w:b/>
          <w:bCs/>
          <w:sz w:val="24"/>
          <w:szCs w:val="24"/>
        </w:rPr>
      </w:pPr>
      <w:r>
        <w:rPr>
          <w:rFonts w:ascii="Times New Roman" w:hAnsi="Times New Roman" w:cs="Times New Roman"/>
          <w:b/>
          <w:bCs/>
          <w:sz w:val="24"/>
          <w:szCs w:val="24"/>
        </w:rPr>
        <w:t>Recommendations:</w:t>
      </w:r>
    </w:p>
    <w:p w14:paraId="658037AF" w14:textId="43086557" w:rsidR="007F14F3" w:rsidRDefault="007F14F3" w:rsidP="007F14F3">
      <w:pPr>
        <w:spacing w:after="240"/>
        <w:rPr>
          <w:rFonts w:ascii="Times New Roman" w:hAnsi="Times New Roman" w:cs="Times New Roman"/>
          <w:i/>
          <w:iCs/>
          <w:sz w:val="24"/>
          <w:szCs w:val="24"/>
        </w:rPr>
      </w:pPr>
      <w:r>
        <w:rPr>
          <w:rFonts w:ascii="Times New Roman" w:hAnsi="Times New Roman" w:cs="Times New Roman"/>
          <w:i/>
          <w:iCs/>
          <w:sz w:val="24"/>
          <w:szCs w:val="24"/>
        </w:rPr>
        <w:t>The Institute recommends that only non-exempt treatment requests be included in the request for authorization.  Claims administrators treat the request for authorization</w:t>
      </w:r>
      <w:r w:rsidR="00B24562">
        <w:rPr>
          <w:rFonts w:ascii="Times New Roman" w:hAnsi="Times New Roman" w:cs="Times New Roman"/>
          <w:i/>
          <w:iCs/>
          <w:sz w:val="24"/>
          <w:szCs w:val="24"/>
        </w:rPr>
        <w:t xml:space="preserve"> form</w:t>
      </w:r>
      <w:r>
        <w:rPr>
          <w:rFonts w:ascii="Times New Roman" w:hAnsi="Times New Roman" w:cs="Times New Roman"/>
          <w:i/>
          <w:iCs/>
          <w:sz w:val="24"/>
          <w:szCs w:val="24"/>
        </w:rPr>
        <w:t xml:space="preserve"> as exactly that; a </w:t>
      </w:r>
      <w:r w:rsidR="00B24562">
        <w:rPr>
          <w:rFonts w:ascii="Times New Roman" w:hAnsi="Times New Roman" w:cs="Times New Roman"/>
          <w:i/>
          <w:iCs/>
          <w:sz w:val="24"/>
          <w:szCs w:val="24"/>
        </w:rPr>
        <w:t xml:space="preserve">request that </w:t>
      </w:r>
      <w:r>
        <w:rPr>
          <w:rFonts w:ascii="Times New Roman" w:hAnsi="Times New Roman" w:cs="Times New Roman"/>
          <w:i/>
          <w:iCs/>
          <w:sz w:val="24"/>
          <w:szCs w:val="24"/>
        </w:rPr>
        <w:t>trigger</w:t>
      </w:r>
      <w:r w:rsidR="00B24562">
        <w:rPr>
          <w:rFonts w:ascii="Times New Roman" w:hAnsi="Times New Roman" w:cs="Times New Roman"/>
          <w:i/>
          <w:iCs/>
          <w:sz w:val="24"/>
          <w:szCs w:val="24"/>
        </w:rPr>
        <w:t xml:space="preserve">s the utilization review process.  </w:t>
      </w:r>
      <w:r w:rsidR="00CB56E5">
        <w:rPr>
          <w:rFonts w:ascii="Times New Roman" w:hAnsi="Times New Roman" w:cs="Times New Roman"/>
          <w:i/>
          <w:iCs/>
          <w:sz w:val="24"/>
          <w:szCs w:val="24"/>
        </w:rPr>
        <w:t>Requiring</w:t>
      </w:r>
      <w:r w:rsidR="00B24562">
        <w:rPr>
          <w:rFonts w:ascii="Times New Roman" w:hAnsi="Times New Roman" w:cs="Times New Roman"/>
          <w:i/>
          <w:iCs/>
          <w:sz w:val="24"/>
          <w:szCs w:val="24"/>
        </w:rPr>
        <w:t xml:space="preserve"> </w:t>
      </w:r>
      <w:r w:rsidR="00CB56E5">
        <w:rPr>
          <w:rFonts w:ascii="Times New Roman" w:hAnsi="Times New Roman" w:cs="Times New Roman"/>
          <w:i/>
          <w:iCs/>
          <w:sz w:val="24"/>
          <w:szCs w:val="24"/>
        </w:rPr>
        <w:t xml:space="preserve">the completion of </w:t>
      </w:r>
      <w:r w:rsidR="00B24562">
        <w:rPr>
          <w:rFonts w:ascii="Times New Roman" w:hAnsi="Times New Roman" w:cs="Times New Roman"/>
          <w:i/>
          <w:iCs/>
          <w:sz w:val="24"/>
          <w:szCs w:val="24"/>
        </w:rPr>
        <w:t>the request for authorization form for treatment that is exempt from prospective utilization review</w:t>
      </w:r>
      <w:r w:rsidR="00CB56E5">
        <w:rPr>
          <w:rFonts w:ascii="Times New Roman" w:hAnsi="Times New Roman" w:cs="Times New Roman"/>
          <w:i/>
          <w:iCs/>
          <w:sz w:val="24"/>
          <w:szCs w:val="24"/>
        </w:rPr>
        <w:t xml:space="preserve"> will be confusing and is not necessary.</w:t>
      </w:r>
      <w:r w:rsidR="005C37F5">
        <w:rPr>
          <w:rFonts w:ascii="Times New Roman" w:hAnsi="Times New Roman" w:cs="Times New Roman"/>
          <w:i/>
          <w:iCs/>
          <w:sz w:val="24"/>
          <w:szCs w:val="24"/>
        </w:rPr>
        <w:t xml:space="preserve">  If the proposed requirement is retained, this subsection should be clear that only section A of the proposed PR-1 should be submitted by the initial treating physician with the Doctor’s First Report of Occupational Injury or Illness and not the complete PR-1.</w:t>
      </w:r>
      <w:r w:rsidR="00CB56E5">
        <w:rPr>
          <w:rFonts w:ascii="Times New Roman" w:hAnsi="Times New Roman" w:cs="Times New Roman"/>
          <w:i/>
          <w:iCs/>
          <w:sz w:val="24"/>
          <w:szCs w:val="24"/>
        </w:rPr>
        <w:t xml:space="preserve">  </w:t>
      </w:r>
      <w:r w:rsidR="00B2456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2E31B25C" w14:textId="6EE4740F" w:rsidR="00E94823" w:rsidRPr="00E94823" w:rsidRDefault="00E94823" w:rsidP="00E94823">
      <w:pPr>
        <w:spacing w:after="240"/>
        <w:rPr>
          <w:rFonts w:ascii="Times New Roman" w:hAnsi="Times New Roman" w:cs="Times New Roman"/>
          <w:b/>
          <w:bCs/>
          <w:sz w:val="24"/>
          <w:szCs w:val="24"/>
        </w:rPr>
      </w:pPr>
      <w:r w:rsidRPr="00E94823">
        <w:rPr>
          <w:rFonts w:ascii="Times New Roman" w:hAnsi="Times New Roman" w:cs="Times New Roman"/>
          <w:b/>
          <w:bCs/>
          <w:sz w:val="24"/>
          <w:szCs w:val="24"/>
        </w:rPr>
        <w:t xml:space="preserve">§9792.9.8. </w:t>
      </w:r>
      <w:r w:rsidR="00FF345A">
        <w:rPr>
          <w:rFonts w:ascii="Times New Roman" w:hAnsi="Times New Roman" w:cs="Times New Roman"/>
          <w:b/>
          <w:bCs/>
          <w:sz w:val="24"/>
          <w:szCs w:val="24"/>
        </w:rPr>
        <w:t xml:space="preserve"> </w:t>
      </w:r>
      <w:r w:rsidRPr="00E94823">
        <w:rPr>
          <w:rFonts w:ascii="Times New Roman" w:hAnsi="Times New Roman" w:cs="Times New Roman"/>
          <w:b/>
          <w:bCs/>
          <w:sz w:val="24"/>
          <w:szCs w:val="24"/>
        </w:rPr>
        <w:t>Utilization Review — MTUS Drug Formulary.</w:t>
      </w:r>
    </w:p>
    <w:p w14:paraId="6178F7F1" w14:textId="636B0F64" w:rsidR="00E94823" w:rsidRDefault="00E94823" w:rsidP="00E94823">
      <w:pPr>
        <w:spacing w:after="240"/>
        <w:rPr>
          <w:rFonts w:ascii="Times New Roman" w:hAnsi="Times New Roman" w:cs="Times New Roman"/>
          <w:b/>
          <w:bCs/>
          <w:strike/>
          <w:color w:val="000000"/>
          <w:sz w:val="24"/>
          <w:szCs w:val="24"/>
          <w:shd w:val="clear" w:color="auto" w:fill="FFFFFF"/>
        </w:rPr>
      </w:pPr>
      <w:r w:rsidRPr="00E94823">
        <w:rPr>
          <w:rFonts w:ascii="Times New Roman" w:hAnsi="Times New Roman" w:cs="Times New Roman"/>
          <w:b/>
          <w:bCs/>
          <w:sz w:val="24"/>
          <w:szCs w:val="24"/>
        </w:rPr>
        <w:t>(</w:t>
      </w:r>
      <w:r w:rsidRPr="00E94823">
        <w:rPr>
          <w:rFonts w:ascii="Times New Roman" w:hAnsi="Times New Roman" w:cs="Times New Roman"/>
          <w:b/>
          <w:bCs/>
          <w:strike/>
          <w:sz w:val="24"/>
          <w:szCs w:val="24"/>
        </w:rPr>
        <w:t>a)</w:t>
      </w:r>
      <w:r w:rsidRPr="00E94823">
        <w:rPr>
          <w:rFonts w:ascii="Times New Roman" w:hAnsi="Times New Roman" w:cs="Times New Roman"/>
          <w:b/>
          <w:bCs/>
          <w:strike/>
          <w:color w:val="000000"/>
          <w:sz w:val="24"/>
          <w:szCs w:val="24"/>
          <w:shd w:val="clear" w:color="auto" w:fill="FFFFFF"/>
        </w:rPr>
        <w:t xml:space="preserve"> (2) Exempt drugs identified in subsection (1) must still be set forth in a request for authorization as required under section 9792.6.1(u), or in a manner agreed upon by the treating physician and the claims administrator.</w:t>
      </w:r>
    </w:p>
    <w:p w14:paraId="4F491B84" w14:textId="6F0CC780" w:rsidR="00AF45C6" w:rsidRPr="00AF45C6" w:rsidRDefault="00AF45C6" w:rsidP="00AF45C6">
      <w:pPr>
        <w:spacing w:after="240"/>
        <w:rPr>
          <w:rFonts w:ascii="Times New Roman" w:hAnsi="Times New Roman" w:cs="Times New Roman"/>
          <w:b/>
          <w:bCs/>
          <w:color w:val="000000"/>
          <w:sz w:val="24"/>
          <w:szCs w:val="24"/>
          <w:shd w:val="clear" w:color="auto" w:fill="FFFFFF"/>
        </w:rPr>
      </w:pPr>
      <w:r w:rsidRPr="00985165">
        <w:rPr>
          <w:rFonts w:ascii="Arial" w:hAnsi="Arial" w:cs="Arial"/>
          <w:color w:val="000000"/>
          <w:szCs w:val="24"/>
          <w:shd w:val="clear" w:color="auto" w:fill="FFFFFF"/>
        </w:rPr>
        <w:t>(</w:t>
      </w:r>
      <w:r w:rsidRPr="00AF45C6">
        <w:rPr>
          <w:rFonts w:ascii="Times New Roman" w:hAnsi="Times New Roman" w:cs="Times New Roman"/>
          <w:b/>
          <w:bCs/>
          <w:color w:val="000000"/>
          <w:sz w:val="24"/>
          <w:szCs w:val="24"/>
          <w:shd w:val="clear" w:color="auto" w:fill="FFFFFF"/>
        </w:rPr>
        <w:t xml:space="preserve">g) (1) The injured worker's initial treating physician shall describe in the treatment plan on the “Doctor's First Report of Occupational Injury or Illness,” DIR Form 5021, all drugs that are being prescribed </w:t>
      </w:r>
      <w:proofErr w:type="spellStart"/>
      <w:r w:rsidRPr="0018750F">
        <w:rPr>
          <w:rFonts w:ascii="Times New Roman" w:hAnsi="Times New Roman" w:cs="Times New Roman"/>
          <w:b/>
          <w:bCs/>
          <w:strike/>
          <w:color w:val="000000"/>
          <w:sz w:val="24"/>
          <w:szCs w:val="24"/>
          <w:shd w:val="clear" w:color="auto" w:fill="FFFFFF"/>
        </w:rPr>
        <w:t>or</w:t>
      </w:r>
      <w:r w:rsidR="0018750F">
        <w:rPr>
          <w:rFonts w:ascii="Times New Roman" w:hAnsi="Times New Roman" w:cs="Times New Roman"/>
          <w:b/>
          <w:bCs/>
          <w:color w:val="000000"/>
          <w:sz w:val="24"/>
          <w:szCs w:val="24"/>
          <w:u w:val="single"/>
          <w:shd w:val="clear" w:color="auto" w:fill="FFFFFF"/>
        </w:rPr>
        <w:t>and</w:t>
      </w:r>
      <w:proofErr w:type="spellEnd"/>
      <w:r w:rsidR="0018750F">
        <w:rPr>
          <w:rFonts w:ascii="Times New Roman" w:hAnsi="Times New Roman" w:cs="Times New Roman"/>
          <w:b/>
          <w:bCs/>
          <w:color w:val="000000"/>
          <w:sz w:val="24"/>
          <w:szCs w:val="24"/>
          <w:u w:val="single"/>
          <w:shd w:val="clear" w:color="auto" w:fill="FFFFFF"/>
        </w:rPr>
        <w:t xml:space="preserve"> all exempt drugs that are being </w:t>
      </w:r>
      <w:r w:rsidRPr="00AF45C6">
        <w:rPr>
          <w:rFonts w:ascii="Times New Roman" w:hAnsi="Times New Roman" w:cs="Times New Roman"/>
          <w:b/>
          <w:bCs/>
          <w:color w:val="000000"/>
          <w:sz w:val="24"/>
          <w:szCs w:val="24"/>
          <w:shd w:val="clear" w:color="auto" w:fill="FFFFFF"/>
        </w:rPr>
        <w:t xml:space="preserve">dispensed to treat the injured worker, and list on the request for authorization </w:t>
      </w:r>
      <w:r w:rsidRPr="00B033C9">
        <w:rPr>
          <w:rFonts w:ascii="Times New Roman" w:hAnsi="Times New Roman" w:cs="Times New Roman"/>
          <w:b/>
          <w:bCs/>
          <w:strike/>
          <w:color w:val="000000"/>
          <w:sz w:val="24"/>
          <w:szCs w:val="24"/>
          <w:shd w:val="clear" w:color="auto" w:fill="FFFFFF"/>
        </w:rPr>
        <w:t>required under section 9792.9.7(a)(4),</w:t>
      </w:r>
      <w:r w:rsidRPr="00AF45C6">
        <w:rPr>
          <w:rFonts w:ascii="Times New Roman" w:hAnsi="Times New Roman" w:cs="Times New Roman"/>
          <w:b/>
          <w:bCs/>
          <w:color w:val="000000"/>
          <w:sz w:val="24"/>
          <w:szCs w:val="24"/>
          <w:shd w:val="clear" w:color="auto" w:fill="FFFFFF"/>
        </w:rPr>
        <w:t xml:space="preserve"> all </w:t>
      </w:r>
      <w:r w:rsidRPr="00AF45C6">
        <w:rPr>
          <w:rFonts w:ascii="Times New Roman" w:hAnsi="Times New Roman" w:cs="Times New Roman"/>
          <w:b/>
          <w:bCs/>
          <w:color w:val="000000"/>
          <w:sz w:val="24"/>
          <w:szCs w:val="24"/>
          <w:u w:val="single"/>
          <w:shd w:val="clear" w:color="auto" w:fill="FFFFFF"/>
        </w:rPr>
        <w:t xml:space="preserve">non-exempt or </w:t>
      </w:r>
      <w:r>
        <w:rPr>
          <w:rFonts w:ascii="Times New Roman" w:hAnsi="Times New Roman" w:cs="Times New Roman"/>
          <w:b/>
          <w:bCs/>
          <w:color w:val="000000"/>
          <w:sz w:val="24"/>
          <w:szCs w:val="24"/>
          <w:u w:val="single"/>
          <w:shd w:val="clear" w:color="auto" w:fill="FFFFFF"/>
        </w:rPr>
        <w:t>un</w:t>
      </w:r>
      <w:r w:rsidRPr="00AF45C6">
        <w:rPr>
          <w:rFonts w:ascii="Times New Roman" w:hAnsi="Times New Roman" w:cs="Times New Roman"/>
          <w:b/>
          <w:bCs/>
          <w:color w:val="000000"/>
          <w:sz w:val="24"/>
          <w:szCs w:val="24"/>
          <w:u w:val="single"/>
          <w:shd w:val="clear" w:color="auto" w:fill="FFFFFF"/>
        </w:rPr>
        <w:t>listed</w:t>
      </w:r>
      <w:r>
        <w:rPr>
          <w:rFonts w:ascii="Times New Roman" w:hAnsi="Times New Roman" w:cs="Times New Roman"/>
          <w:b/>
          <w:bCs/>
          <w:color w:val="000000"/>
          <w:sz w:val="24"/>
          <w:szCs w:val="24"/>
          <w:shd w:val="clear" w:color="auto" w:fill="FFFFFF"/>
        </w:rPr>
        <w:t xml:space="preserve"> </w:t>
      </w:r>
      <w:r w:rsidRPr="00AF45C6">
        <w:rPr>
          <w:rFonts w:ascii="Times New Roman" w:hAnsi="Times New Roman" w:cs="Times New Roman"/>
          <w:b/>
          <w:bCs/>
          <w:color w:val="000000"/>
          <w:sz w:val="24"/>
          <w:szCs w:val="24"/>
          <w:shd w:val="clear" w:color="auto" w:fill="FFFFFF"/>
        </w:rPr>
        <w:t>drugs that are being prescribed</w:t>
      </w:r>
      <w:r w:rsidRPr="00AF45C6">
        <w:rPr>
          <w:rFonts w:ascii="Times New Roman" w:hAnsi="Times New Roman" w:cs="Times New Roman"/>
          <w:b/>
          <w:bCs/>
          <w:strike/>
          <w:color w:val="000000"/>
          <w:sz w:val="24"/>
          <w:szCs w:val="24"/>
          <w:shd w:val="clear" w:color="auto" w:fill="FFFFFF"/>
        </w:rPr>
        <w:t xml:space="preserve"> or dispensed</w:t>
      </w:r>
      <w:r w:rsidRPr="00AF45C6">
        <w:rPr>
          <w:rFonts w:ascii="Times New Roman" w:hAnsi="Times New Roman" w:cs="Times New Roman"/>
          <w:b/>
          <w:bCs/>
          <w:color w:val="000000"/>
          <w:sz w:val="24"/>
          <w:szCs w:val="24"/>
          <w:shd w:val="clear" w:color="auto" w:fill="FFFFFF"/>
        </w:rPr>
        <w:t xml:space="preserve">.  Subsequent primary treating physicians shall submit a request for authorization following their first visit with the injured worker indicating all </w:t>
      </w:r>
      <w:r w:rsidRPr="00AF45C6">
        <w:rPr>
          <w:rFonts w:ascii="Times New Roman" w:hAnsi="Times New Roman" w:cs="Times New Roman"/>
          <w:b/>
          <w:bCs/>
          <w:color w:val="000000"/>
          <w:sz w:val="24"/>
          <w:szCs w:val="24"/>
          <w:u w:val="single"/>
          <w:shd w:val="clear" w:color="auto" w:fill="FFFFFF"/>
        </w:rPr>
        <w:t xml:space="preserve">non-exempt or </w:t>
      </w:r>
      <w:r>
        <w:rPr>
          <w:rFonts w:ascii="Times New Roman" w:hAnsi="Times New Roman" w:cs="Times New Roman"/>
          <w:b/>
          <w:bCs/>
          <w:color w:val="000000"/>
          <w:sz w:val="24"/>
          <w:szCs w:val="24"/>
          <w:u w:val="single"/>
          <w:shd w:val="clear" w:color="auto" w:fill="FFFFFF"/>
        </w:rPr>
        <w:t>un</w:t>
      </w:r>
      <w:r w:rsidRPr="00AF45C6">
        <w:rPr>
          <w:rFonts w:ascii="Times New Roman" w:hAnsi="Times New Roman" w:cs="Times New Roman"/>
          <w:b/>
          <w:bCs/>
          <w:color w:val="000000"/>
          <w:sz w:val="24"/>
          <w:szCs w:val="24"/>
          <w:u w:val="single"/>
          <w:shd w:val="clear" w:color="auto" w:fill="FFFFFF"/>
        </w:rPr>
        <w:t>listed</w:t>
      </w:r>
      <w:r>
        <w:rPr>
          <w:rFonts w:ascii="Times New Roman" w:hAnsi="Times New Roman" w:cs="Times New Roman"/>
          <w:b/>
          <w:bCs/>
          <w:color w:val="000000"/>
          <w:sz w:val="24"/>
          <w:szCs w:val="24"/>
          <w:shd w:val="clear" w:color="auto" w:fill="FFFFFF"/>
        </w:rPr>
        <w:t xml:space="preserve"> </w:t>
      </w:r>
      <w:r w:rsidRPr="00AF45C6">
        <w:rPr>
          <w:rFonts w:ascii="Times New Roman" w:hAnsi="Times New Roman" w:cs="Times New Roman"/>
          <w:b/>
          <w:bCs/>
          <w:color w:val="000000"/>
          <w:sz w:val="24"/>
          <w:szCs w:val="24"/>
          <w:shd w:val="clear" w:color="auto" w:fill="FFFFFF"/>
        </w:rPr>
        <w:t xml:space="preserve">drugs that are being prescribed </w:t>
      </w:r>
      <w:r w:rsidRPr="00B033C9">
        <w:rPr>
          <w:rFonts w:ascii="Times New Roman" w:hAnsi="Times New Roman" w:cs="Times New Roman"/>
          <w:b/>
          <w:bCs/>
          <w:strike/>
          <w:color w:val="000000"/>
          <w:sz w:val="24"/>
          <w:szCs w:val="24"/>
          <w:shd w:val="clear" w:color="auto" w:fill="FFFFFF"/>
        </w:rPr>
        <w:t>or dispensed</w:t>
      </w:r>
      <w:r w:rsidRPr="00AF45C6">
        <w:rPr>
          <w:rFonts w:ascii="Times New Roman" w:hAnsi="Times New Roman" w:cs="Times New Roman"/>
          <w:b/>
          <w:bCs/>
          <w:color w:val="000000"/>
          <w:sz w:val="24"/>
          <w:szCs w:val="24"/>
          <w:shd w:val="clear" w:color="auto" w:fill="FFFFFF"/>
        </w:rPr>
        <w:t xml:space="preserve"> for treatment.</w:t>
      </w:r>
    </w:p>
    <w:p w14:paraId="3197F8D4" w14:textId="5BB07AD3" w:rsidR="00E94823" w:rsidRDefault="00E94823" w:rsidP="007F14F3">
      <w:pPr>
        <w:spacing w:after="240"/>
        <w:rPr>
          <w:rFonts w:ascii="Times New Roman" w:hAnsi="Times New Roman" w:cs="Times New Roman"/>
          <w:b/>
          <w:bCs/>
          <w:sz w:val="24"/>
          <w:szCs w:val="24"/>
        </w:rPr>
      </w:pPr>
      <w:r>
        <w:rPr>
          <w:rFonts w:ascii="Times New Roman" w:hAnsi="Times New Roman" w:cs="Times New Roman"/>
          <w:b/>
          <w:bCs/>
          <w:sz w:val="24"/>
          <w:szCs w:val="24"/>
        </w:rPr>
        <w:t>Recommendation:</w:t>
      </w:r>
    </w:p>
    <w:p w14:paraId="071A75D6" w14:textId="1A6CA4F7" w:rsidR="00783603" w:rsidRDefault="00E94823" w:rsidP="007F14F3">
      <w:pPr>
        <w:spacing w:after="240"/>
        <w:rPr>
          <w:rFonts w:ascii="Times New Roman" w:hAnsi="Times New Roman" w:cs="Times New Roman"/>
          <w:i/>
          <w:iCs/>
          <w:sz w:val="24"/>
          <w:szCs w:val="24"/>
        </w:rPr>
      </w:pPr>
      <w:r w:rsidRPr="00E94823">
        <w:rPr>
          <w:rFonts w:ascii="Times New Roman" w:hAnsi="Times New Roman" w:cs="Times New Roman"/>
          <w:i/>
          <w:iCs/>
          <w:sz w:val="24"/>
          <w:szCs w:val="24"/>
        </w:rPr>
        <w:t xml:space="preserve">As noted above, </w:t>
      </w:r>
      <w:r>
        <w:rPr>
          <w:rFonts w:ascii="Times New Roman" w:hAnsi="Times New Roman" w:cs="Times New Roman"/>
          <w:i/>
          <w:iCs/>
          <w:sz w:val="24"/>
          <w:szCs w:val="24"/>
        </w:rPr>
        <w:t>requiring the completion of the request for authorization form for treatment that is exempt from prospective utilization review will be confusing and is not necessary.  The Institute therefore recommends that subsection</w:t>
      </w:r>
      <w:r w:rsidR="00AF45C6">
        <w:rPr>
          <w:rFonts w:ascii="Times New Roman" w:hAnsi="Times New Roman" w:cs="Times New Roman"/>
          <w:i/>
          <w:iCs/>
          <w:sz w:val="24"/>
          <w:szCs w:val="24"/>
        </w:rPr>
        <w:t xml:space="preserve"> (a)(2)</w:t>
      </w:r>
      <w:r>
        <w:rPr>
          <w:rFonts w:ascii="Times New Roman" w:hAnsi="Times New Roman" w:cs="Times New Roman"/>
          <w:i/>
          <w:iCs/>
          <w:sz w:val="24"/>
          <w:szCs w:val="24"/>
        </w:rPr>
        <w:t xml:space="preserve"> be </w:t>
      </w:r>
      <w:r w:rsidR="00A2596B">
        <w:rPr>
          <w:rFonts w:ascii="Times New Roman" w:hAnsi="Times New Roman" w:cs="Times New Roman"/>
          <w:i/>
          <w:iCs/>
          <w:sz w:val="24"/>
          <w:szCs w:val="24"/>
        </w:rPr>
        <w:t>deleted,</w:t>
      </w:r>
      <w:r w:rsidR="00AF45C6">
        <w:rPr>
          <w:rFonts w:ascii="Times New Roman" w:hAnsi="Times New Roman" w:cs="Times New Roman"/>
          <w:i/>
          <w:iCs/>
          <w:sz w:val="24"/>
          <w:szCs w:val="24"/>
        </w:rPr>
        <w:t xml:space="preserve"> and subsection (g)(1) be amended</w:t>
      </w:r>
      <w:r>
        <w:rPr>
          <w:rFonts w:ascii="Times New Roman" w:hAnsi="Times New Roman" w:cs="Times New Roman"/>
          <w:i/>
          <w:iCs/>
          <w:sz w:val="24"/>
          <w:szCs w:val="24"/>
        </w:rPr>
        <w:t>.</w:t>
      </w:r>
    </w:p>
    <w:p w14:paraId="42701C07" w14:textId="77777777" w:rsidR="00ED71C1" w:rsidRDefault="00ED71C1" w:rsidP="00830D93">
      <w:pPr>
        <w:spacing w:after="0"/>
        <w:rPr>
          <w:rFonts w:ascii="Times New Roman" w:hAnsi="Times New Roman" w:cs="Times New Roman"/>
          <w:i/>
          <w:iCs/>
          <w:sz w:val="24"/>
          <w:szCs w:val="24"/>
        </w:rPr>
      </w:pPr>
    </w:p>
    <w:p w14:paraId="51AB2F8C" w14:textId="4D4553B1" w:rsidR="00783603" w:rsidRPr="00E94823" w:rsidRDefault="00783603" w:rsidP="00783603">
      <w:pPr>
        <w:spacing w:after="240"/>
        <w:rPr>
          <w:rFonts w:ascii="Times New Roman" w:hAnsi="Times New Roman" w:cs="Times New Roman"/>
          <w:b/>
          <w:bCs/>
          <w:sz w:val="24"/>
          <w:szCs w:val="24"/>
        </w:rPr>
      </w:pPr>
      <w:r w:rsidRPr="00E94823">
        <w:rPr>
          <w:rFonts w:ascii="Times New Roman" w:hAnsi="Times New Roman" w:cs="Times New Roman"/>
          <w:b/>
          <w:bCs/>
          <w:sz w:val="24"/>
          <w:szCs w:val="24"/>
        </w:rPr>
        <w:t xml:space="preserve">§9792.9.8. </w:t>
      </w:r>
      <w:r w:rsidR="00FF345A">
        <w:rPr>
          <w:rFonts w:ascii="Times New Roman" w:hAnsi="Times New Roman" w:cs="Times New Roman"/>
          <w:b/>
          <w:bCs/>
          <w:sz w:val="24"/>
          <w:szCs w:val="24"/>
        </w:rPr>
        <w:t xml:space="preserve"> </w:t>
      </w:r>
      <w:r w:rsidRPr="00E94823">
        <w:rPr>
          <w:rFonts w:ascii="Times New Roman" w:hAnsi="Times New Roman" w:cs="Times New Roman"/>
          <w:b/>
          <w:bCs/>
          <w:sz w:val="24"/>
          <w:szCs w:val="24"/>
        </w:rPr>
        <w:t>Utilization Review — MTUS Drug Formulary.</w:t>
      </w:r>
    </w:p>
    <w:p w14:paraId="5FF41E2B" w14:textId="77777777" w:rsidR="00783603" w:rsidRDefault="00783603" w:rsidP="00783603">
      <w:pPr>
        <w:spacing w:after="240"/>
        <w:rPr>
          <w:rFonts w:ascii="Times New Roman" w:hAnsi="Times New Roman" w:cs="Times New Roman"/>
          <w:b/>
          <w:bCs/>
          <w:color w:val="000000"/>
          <w:sz w:val="24"/>
          <w:szCs w:val="24"/>
          <w:shd w:val="clear" w:color="auto" w:fill="FFFFFF"/>
        </w:rPr>
      </w:pPr>
      <w:r w:rsidRPr="00783603">
        <w:rPr>
          <w:rFonts w:ascii="Times New Roman" w:hAnsi="Times New Roman" w:cs="Times New Roman"/>
          <w:b/>
          <w:bCs/>
          <w:color w:val="000000"/>
          <w:sz w:val="24"/>
          <w:szCs w:val="24"/>
          <w:shd w:val="clear" w:color="auto" w:fill="FFFFFF"/>
        </w:rPr>
        <w:t xml:space="preserve">(d) Notwithstanding subdivision (b), a request for authorization that requests both drugs and non-pharmaceutical treatment related to the same condition shall be reviewed under the timeframes set forth in section 9792.9.3 and section 9792.9.6 and the requirements of sections 9792.9.4 and 9792.9.5. </w:t>
      </w:r>
    </w:p>
    <w:p w14:paraId="140848F7" w14:textId="5CB8D8F8" w:rsidR="00783603" w:rsidRDefault="00783603" w:rsidP="00783603">
      <w:pPr>
        <w:spacing w:after="240"/>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Comment:</w:t>
      </w:r>
    </w:p>
    <w:p w14:paraId="5A5AF876" w14:textId="6C4450F7" w:rsidR="00783603" w:rsidRDefault="00783603" w:rsidP="00783603">
      <w:pPr>
        <w:spacing w:after="240"/>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The Institute requests clarification of the definition of “the same condition” for purposes of this subsection.  </w:t>
      </w:r>
    </w:p>
    <w:p w14:paraId="5A6245EE" w14:textId="77A88B08" w:rsidR="00F15672" w:rsidRPr="00E94823" w:rsidRDefault="00F15672" w:rsidP="00F15672">
      <w:pPr>
        <w:spacing w:after="240"/>
        <w:rPr>
          <w:rFonts w:ascii="Times New Roman" w:hAnsi="Times New Roman" w:cs="Times New Roman"/>
          <w:b/>
          <w:bCs/>
          <w:sz w:val="24"/>
          <w:szCs w:val="24"/>
        </w:rPr>
      </w:pPr>
      <w:r w:rsidRPr="00E94823">
        <w:rPr>
          <w:rFonts w:ascii="Times New Roman" w:hAnsi="Times New Roman" w:cs="Times New Roman"/>
          <w:b/>
          <w:bCs/>
          <w:sz w:val="24"/>
          <w:szCs w:val="24"/>
        </w:rPr>
        <w:t xml:space="preserve">§9792.9.8. </w:t>
      </w:r>
      <w:r w:rsidR="00FF345A">
        <w:rPr>
          <w:rFonts w:ascii="Times New Roman" w:hAnsi="Times New Roman" w:cs="Times New Roman"/>
          <w:b/>
          <w:bCs/>
          <w:sz w:val="24"/>
          <w:szCs w:val="24"/>
        </w:rPr>
        <w:t xml:space="preserve"> </w:t>
      </w:r>
      <w:r w:rsidRPr="00E94823">
        <w:rPr>
          <w:rFonts w:ascii="Times New Roman" w:hAnsi="Times New Roman" w:cs="Times New Roman"/>
          <w:b/>
          <w:bCs/>
          <w:sz w:val="24"/>
          <w:szCs w:val="24"/>
        </w:rPr>
        <w:t>Utilization Review — MTUS Drug Formulary.</w:t>
      </w:r>
    </w:p>
    <w:p w14:paraId="5DAE8F98" w14:textId="083F795C" w:rsidR="00F15672" w:rsidRDefault="00F15672" w:rsidP="00F15672">
      <w:pPr>
        <w:spacing w:after="240"/>
        <w:rPr>
          <w:rFonts w:ascii="Times New Roman" w:hAnsi="Times New Roman" w:cs="Times New Roman"/>
          <w:b/>
          <w:bCs/>
          <w:color w:val="000000"/>
          <w:sz w:val="24"/>
          <w:szCs w:val="24"/>
          <w:shd w:val="clear" w:color="auto" w:fill="FFFFFF"/>
        </w:rPr>
      </w:pPr>
      <w:r w:rsidRPr="00F15672">
        <w:rPr>
          <w:rFonts w:ascii="Times New Roman" w:hAnsi="Times New Roman" w:cs="Times New Roman"/>
          <w:b/>
          <w:bCs/>
          <w:color w:val="000000"/>
          <w:sz w:val="24"/>
          <w:szCs w:val="24"/>
          <w:shd w:val="clear" w:color="auto" w:fill="FFFFFF"/>
        </w:rPr>
        <w:t xml:space="preserve">(g) (4) The claims administrator may conduct retrospective review of a drug prescribed or dispensed to the injured worker under subdivision (a) of </w:t>
      </w:r>
      <w:r w:rsidRPr="003D3ED1">
        <w:rPr>
          <w:rFonts w:ascii="Times New Roman" w:hAnsi="Times New Roman" w:cs="Times New Roman"/>
          <w:b/>
          <w:bCs/>
          <w:strike/>
          <w:color w:val="000000"/>
          <w:sz w:val="24"/>
          <w:szCs w:val="24"/>
          <w:shd w:val="clear" w:color="auto" w:fill="FFFFFF"/>
        </w:rPr>
        <w:t xml:space="preserve">this </w:t>
      </w:r>
      <w:r w:rsidRPr="00F15672">
        <w:rPr>
          <w:rFonts w:ascii="Times New Roman" w:hAnsi="Times New Roman" w:cs="Times New Roman"/>
          <w:b/>
          <w:bCs/>
          <w:color w:val="000000"/>
          <w:sz w:val="24"/>
          <w:szCs w:val="24"/>
          <w:shd w:val="clear" w:color="auto" w:fill="FFFFFF"/>
        </w:rPr>
        <w:t>section</w:t>
      </w:r>
      <w:r w:rsidR="003D3ED1">
        <w:rPr>
          <w:rFonts w:ascii="Times New Roman" w:hAnsi="Times New Roman" w:cs="Times New Roman"/>
          <w:b/>
          <w:bCs/>
          <w:color w:val="000000"/>
          <w:sz w:val="24"/>
          <w:szCs w:val="24"/>
          <w:shd w:val="clear" w:color="auto" w:fill="FFFFFF"/>
        </w:rPr>
        <w:t xml:space="preserve"> </w:t>
      </w:r>
      <w:r w:rsidR="003D3ED1">
        <w:rPr>
          <w:rFonts w:ascii="Times New Roman" w:hAnsi="Times New Roman" w:cs="Times New Roman"/>
          <w:b/>
          <w:bCs/>
          <w:color w:val="000000"/>
          <w:sz w:val="24"/>
          <w:szCs w:val="24"/>
          <w:u w:val="single"/>
          <w:shd w:val="clear" w:color="auto" w:fill="FFFFFF"/>
        </w:rPr>
        <w:t>9792.9.7</w:t>
      </w:r>
      <w:r w:rsidRPr="00F15672">
        <w:rPr>
          <w:rFonts w:ascii="Times New Roman" w:hAnsi="Times New Roman" w:cs="Times New Roman"/>
          <w:b/>
          <w:bCs/>
          <w:color w:val="000000"/>
          <w:sz w:val="24"/>
          <w:szCs w:val="24"/>
          <w:shd w:val="clear" w:color="auto" w:fill="FFFFFF"/>
        </w:rPr>
        <w:t xml:space="preserve"> only for the purpose of determining whether the use of the drug is consistent with the recommendations set forth in the applicable guideline of the medical treatment utilization schedule adopted by the administrative director under Section 5307.27.  </w:t>
      </w:r>
    </w:p>
    <w:p w14:paraId="699F2D40" w14:textId="43EE124E" w:rsidR="00F15672" w:rsidRDefault="00F15672" w:rsidP="00F15672">
      <w:pPr>
        <w:spacing w:after="240"/>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Comment:</w:t>
      </w:r>
    </w:p>
    <w:p w14:paraId="20373A37" w14:textId="1F7135BC" w:rsidR="003D3ED1" w:rsidRDefault="00F15672" w:rsidP="003D3ED1">
      <w:pPr>
        <w:spacing w:after="240"/>
        <w:rPr>
          <w:rFonts w:ascii="Times New Roman" w:hAnsi="Times New Roman" w:cs="Times New Roman"/>
          <w:i/>
          <w:iCs/>
          <w:sz w:val="24"/>
          <w:szCs w:val="24"/>
        </w:rPr>
      </w:pPr>
      <w:r>
        <w:rPr>
          <w:rFonts w:ascii="Times New Roman" w:hAnsi="Times New Roman" w:cs="Times New Roman"/>
          <w:i/>
          <w:iCs/>
          <w:color w:val="000000"/>
          <w:sz w:val="24"/>
          <w:szCs w:val="24"/>
          <w:shd w:val="clear" w:color="auto" w:fill="FFFFFF"/>
        </w:rPr>
        <w:t xml:space="preserve">This </w:t>
      </w:r>
      <w:r w:rsidR="003D3ED1">
        <w:rPr>
          <w:rFonts w:ascii="Times New Roman" w:hAnsi="Times New Roman" w:cs="Times New Roman"/>
          <w:i/>
          <w:iCs/>
          <w:color w:val="000000"/>
          <w:sz w:val="24"/>
          <w:szCs w:val="24"/>
          <w:shd w:val="clear" w:color="auto" w:fill="FFFFFF"/>
        </w:rPr>
        <w:t>sub</w:t>
      </w:r>
      <w:r>
        <w:rPr>
          <w:rFonts w:ascii="Times New Roman" w:hAnsi="Times New Roman" w:cs="Times New Roman"/>
          <w:i/>
          <w:iCs/>
          <w:color w:val="000000"/>
          <w:sz w:val="24"/>
          <w:szCs w:val="24"/>
          <w:shd w:val="clear" w:color="auto" w:fill="FFFFFF"/>
        </w:rPr>
        <w:t>section appears to refer to</w:t>
      </w:r>
      <w:r w:rsidR="003D3ED1">
        <w:rPr>
          <w:rFonts w:ascii="Times New Roman" w:hAnsi="Times New Roman" w:cs="Times New Roman"/>
          <w:i/>
          <w:iCs/>
          <w:color w:val="000000"/>
          <w:sz w:val="24"/>
          <w:szCs w:val="24"/>
          <w:shd w:val="clear" w:color="auto" w:fill="FFFFFF"/>
        </w:rPr>
        <w:t xml:space="preserve"> </w:t>
      </w:r>
      <w:r w:rsidR="003D3ED1" w:rsidRPr="003D3ED1">
        <w:rPr>
          <w:rFonts w:ascii="Times New Roman" w:hAnsi="Times New Roman" w:cs="Times New Roman"/>
          <w:i/>
          <w:iCs/>
          <w:sz w:val="24"/>
          <w:szCs w:val="24"/>
        </w:rPr>
        <w:t xml:space="preserve">§9792.9.7. </w:t>
      </w:r>
      <w:r w:rsidR="00542574">
        <w:rPr>
          <w:rFonts w:ascii="Times New Roman" w:hAnsi="Times New Roman" w:cs="Times New Roman"/>
          <w:i/>
          <w:iCs/>
          <w:sz w:val="24"/>
          <w:szCs w:val="24"/>
        </w:rPr>
        <w:t xml:space="preserve"> </w:t>
      </w:r>
      <w:r w:rsidR="003D3ED1" w:rsidRPr="003D3ED1">
        <w:rPr>
          <w:rFonts w:ascii="Times New Roman" w:hAnsi="Times New Roman" w:cs="Times New Roman"/>
          <w:i/>
          <w:iCs/>
          <w:sz w:val="24"/>
          <w:szCs w:val="24"/>
        </w:rPr>
        <w:t>Utilization Review – Medical Treatment – First 30 Days of the Date of Injury</w:t>
      </w:r>
      <w:r w:rsidR="003D3ED1">
        <w:rPr>
          <w:rFonts w:ascii="Times New Roman" w:hAnsi="Times New Roman" w:cs="Times New Roman"/>
          <w:i/>
          <w:iCs/>
          <w:sz w:val="24"/>
          <w:szCs w:val="24"/>
        </w:rPr>
        <w:t xml:space="preserve">, </w:t>
      </w:r>
      <w:r w:rsidR="003D3ED1" w:rsidRPr="003D3ED1">
        <w:rPr>
          <w:rFonts w:ascii="Times New Roman" w:hAnsi="Times New Roman" w:cs="Times New Roman"/>
          <w:i/>
          <w:iCs/>
          <w:sz w:val="24"/>
          <w:szCs w:val="24"/>
        </w:rPr>
        <w:t xml:space="preserve">not §9792.9.8. </w:t>
      </w:r>
      <w:r w:rsidR="00542574">
        <w:rPr>
          <w:rFonts w:ascii="Times New Roman" w:hAnsi="Times New Roman" w:cs="Times New Roman"/>
          <w:i/>
          <w:iCs/>
          <w:sz w:val="24"/>
          <w:szCs w:val="24"/>
        </w:rPr>
        <w:t xml:space="preserve"> </w:t>
      </w:r>
      <w:r w:rsidR="003D3ED1" w:rsidRPr="003D3ED1">
        <w:rPr>
          <w:rFonts w:ascii="Times New Roman" w:hAnsi="Times New Roman" w:cs="Times New Roman"/>
          <w:i/>
          <w:iCs/>
          <w:sz w:val="24"/>
          <w:szCs w:val="24"/>
        </w:rPr>
        <w:t>Utilization Review</w:t>
      </w:r>
      <w:r w:rsidR="00542574">
        <w:rPr>
          <w:rFonts w:ascii="Times New Roman" w:hAnsi="Times New Roman" w:cs="Times New Roman"/>
          <w:i/>
          <w:iCs/>
          <w:sz w:val="24"/>
          <w:szCs w:val="24"/>
        </w:rPr>
        <w:t xml:space="preserve"> </w:t>
      </w:r>
      <w:r w:rsidR="00542574" w:rsidRPr="007F14F3">
        <w:rPr>
          <w:rFonts w:ascii="Times New Roman" w:hAnsi="Times New Roman" w:cs="Times New Roman"/>
          <w:b/>
          <w:bCs/>
          <w:sz w:val="24"/>
          <w:szCs w:val="24"/>
        </w:rPr>
        <w:t>–</w:t>
      </w:r>
      <w:r w:rsidR="003D3ED1" w:rsidRPr="003D3ED1">
        <w:rPr>
          <w:rFonts w:ascii="Times New Roman" w:hAnsi="Times New Roman" w:cs="Times New Roman"/>
          <w:i/>
          <w:iCs/>
          <w:sz w:val="24"/>
          <w:szCs w:val="24"/>
        </w:rPr>
        <w:t xml:space="preserve"> MTUS Drug Formulary.</w:t>
      </w:r>
    </w:p>
    <w:p w14:paraId="1AED1CBC" w14:textId="17EABB07" w:rsidR="003D3F8E" w:rsidRPr="003D3F8E" w:rsidRDefault="003D3F8E" w:rsidP="003D3F8E">
      <w:pPr>
        <w:pStyle w:val="Heading2"/>
        <w:rPr>
          <w:rFonts w:ascii="Times New Roman" w:hAnsi="Times New Roman" w:cs="Times New Roman"/>
          <w:b/>
          <w:bCs/>
          <w:color w:val="auto"/>
          <w:sz w:val="24"/>
          <w:szCs w:val="24"/>
          <w:highlight w:val="cyan"/>
        </w:rPr>
      </w:pPr>
      <w:r w:rsidRPr="003D3F8E">
        <w:rPr>
          <w:rFonts w:ascii="Times New Roman" w:hAnsi="Times New Roman" w:cs="Times New Roman"/>
          <w:b/>
          <w:bCs/>
          <w:color w:val="auto"/>
          <w:sz w:val="24"/>
          <w:szCs w:val="24"/>
        </w:rPr>
        <w:t>§9792.10.1. </w:t>
      </w:r>
      <w:r w:rsidR="00FF345A">
        <w:rPr>
          <w:rFonts w:ascii="Times New Roman" w:hAnsi="Times New Roman" w:cs="Times New Roman"/>
          <w:b/>
          <w:bCs/>
          <w:color w:val="auto"/>
          <w:sz w:val="24"/>
          <w:szCs w:val="24"/>
        </w:rPr>
        <w:t xml:space="preserve"> </w:t>
      </w:r>
      <w:r w:rsidRPr="003D3F8E">
        <w:rPr>
          <w:rFonts w:ascii="Times New Roman" w:hAnsi="Times New Roman" w:cs="Times New Roman"/>
          <w:b/>
          <w:bCs/>
          <w:color w:val="auto"/>
          <w:sz w:val="24"/>
          <w:szCs w:val="24"/>
        </w:rPr>
        <w:t>Utilization Review --</w:t>
      </w:r>
      <w:r>
        <w:rPr>
          <w:rFonts w:ascii="Times New Roman" w:hAnsi="Times New Roman" w:cs="Times New Roman"/>
          <w:b/>
          <w:bCs/>
          <w:color w:val="auto"/>
          <w:sz w:val="24"/>
          <w:szCs w:val="24"/>
        </w:rPr>
        <w:t xml:space="preserve"> </w:t>
      </w:r>
      <w:r w:rsidRPr="003D3F8E">
        <w:rPr>
          <w:rFonts w:ascii="Times New Roman" w:hAnsi="Times New Roman" w:cs="Times New Roman"/>
          <w:b/>
          <w:bCs/>
          <w:color w:val="auto"/>
          <w:sz w:val="24"/>
          <w:szCs w:val="24"/>
        </w:rPr>
        <w:t>Dispute Resolution</w:t>
      </w:r>
      <w:r w:rsidRPr="003D3F8E">
        <w:rPr>
          <w:rFonts w:ascii="Times New Roman" w:hAnsi="Times New Roman" w:cs="Times New Roman"/>
          <w:b/>
          <w:bCs/>
          <w:strike/>
          <w:color w:val="auto"/>
          <w:sz w:val="24"/>
          <w:szCs w:val="24"/>
        </w:rPr>
        <w:t xml:space="preserve"> – On or After January 1, 2013</w:t>
      </w:r>
      <w:r w:rsidRPr="003D3F8E">
        <w:rPr>
          <w:rFonts w:ascii="Times New Roman" w:hAnsi="Times New Roman" w:cs="Times New Roman"/>
          <w:b/>
          <w:bCs/>
          <w:color w:val="auto"/>
          <w:sz w:val="24"/>
          <w:szCs w:val="24"/>
        </w:rPr>
        <w:t>.</w:t>
      </w:r>
    </w:p>
    <w:p w14:paraId="1574257A" w14:textId="77777777" w:rsidR="003D3F8E" w:rsidRDefault="003D3F8E" w:rsidP="003D3F8E">
      <w:pPr>
        <w:spacing w:after="240"/>
        <w:rPr>
          <w:rFonts w:ascii="Times New Roman" w:hAnsi="Times New Roman" w:cs="Times New Roman"/>
          <w:b/>
          <w:bCs/>
          <w:sz w:val="24"/>
          <w:szCs w:val="24"/>
          <w:shd w:val="clear" w:color="auto" w:fill="FFFFFF"/>
        </w:rPr>
      </w:pPr>
      <w:r w:rsidRPr="003D3F8E">
        <w:rPr>
          <w:rFonts w:ascii="Times New Roman" w:hAnsi="Times New Roman" w:cs="Times New Roman"/>
          <w:b/>
          <w:bCs/>
          <w:sz w:val="24"/>
          <w:szCs w:val="24"/>
          <w:shd w:val="clear" w:color="auto" w:fill="FFFFFF"/>
        </w:rPr>
        <w:t xml:space="preserve">This section applies to any request for authorization of medical treatment, made under Article 5.5.1 of this Subchapter, </w:t>
      </w:r>
      <w:r w:rsidRPr="003D3F8E">
        <w:rPr>
          <w:rFonts w:ascii="Times New Roman" w:hAnsi="Times New Roman" w:cs="Times New Roman"/>
          <w:b/>
          <w:bCs/>
          <w:strike/>
          <w:sz w:val="24"/>
          <w:szCs w:val="24"/>
          <w:shd w:val="clear" w:color="auto" w:fill="FFFFFF"/>
        </w:rPr>
        <w:t>for either: (1) an occupational injury or illness occurring on or after January 1, 2013; or (2) where the decision on the request is communicated to the requesting physician on or after July 1, 2013,</w:t>
      </w:r>
      <w:r w:rsidRPr="003D3F8E">
        <w:rPr>
          <w:rFonts w:ascii="Times New Roman" w:hAnsi="Times New Roman" w:cs="Times New Roman"/>
          <w:b/>
          <w:bCs/>
          <w:sz w:val="24"/>
          <w:szCs w:val="24"/>
          <w:shd w:val="clear" w:color="auto" w:fill="FFFFFF"/>
        </w:rPr>
        <w:t xml:space="preserve"> regardless of the date of injury.</w:t>
      </w:r>
    </w:p>
    <w:p w14:paraId="583A1133" w14:textId="7BA7B237" w:rsidR="003D3F8E" w:rsidRDefault="003D3F8E" w:rsidP="003D3F8E">
      <w:pPr>
        <w:spacing w:after="24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Recommendation:</w:t>
      </w:r>
    </w:p>
    <w:p w14:paraId="7593A4E0" w14:textId="77777777" w:rsidR="00904E59" w:rsidRDefault="003D3F8E" w:rsidP="003D3F8E">
      <w:pPr>
        <w:spacing w:after="240"/>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The Institute recommends deleting the date references as they are no longer relevant.</w:t>
      </w:r>
    </w:p>
    <w:p w14:paraId="79A5814A" w14:textId="2315BE9B" w:rsidR="00904E59" w:rsidRDefault="00904E59" w:rsidP="00904E59">
      <w:pPr>
        <w:pStyle w:val="Heading2"/>
        <w:spacing w:after="120"/>
        <w:rPr>
          <w:rFonts w:ascii="Times New Roman" w:hAnsi="Times New Roman" w:cs="Times New Roman"/>
          <w:b/>
          <w:bCs/>
          <w:color w:val="auto"/>
          <w:sz w:val="24"/>
          <w:szCs w:val="24"/>
        </w:rPr>
      </w:pPr>
      <w:r w:rsidRPr="00904E59">
        <w:rPr>
          <w:rFonts w:ascii="Times New Roman" w:hAnsi="Times New Roman" w:cs="Times New Roman"/>
          <w:b/>
          <w:bCs/>
          <w:color w:val="auto"/>
          <w:sz w:val="24"/>
          <w:szCs w:val="24"/>
        </w:rPr>
        <w:t xml:space="preserve">§9792.10.2. </w:t>
      </w:r>
      <w:r w:rsidR="00FF345A">
        <w:rPr>
          <w:rFonts w:ascii="Times New Roman" w:hAnsi="Times New Roman" w:cs="Times New Roman"/>
          <w:b/>
          <w:bCs/>
          <w:color w:val="auto"/>
          <w:sz w:val="24"/>
          <w:szCs w:val="24"/>
        </w:rPr>
        <w:t xml:space="preserve"> </w:t>
      </w:r>
      <w:r w:rsidRPr="00904E59">
        <w:rPr>
          <w:rFonts w:ascii="Times New Roman" w:hAnsi="Times New Roman" w:cs="Times New Roman"/>
          <w:b/>
          <w:bCs/>
          <w:color w:val="auto"/>
          <w:sz w:val="24"/>
          <w:szCs w:val="24"/>
        </w:rPr>
        <w:t>Application for Independent Medical Review, DWC Form IMR.</w:t>
      </w:r>
    </w:p>
    <w:p w14:paraId="081C5B01" w14:textId="357F8F28" w:rsidR="00904E59" w:rsidRDefault="00904E59" w:rsidP="00904E59">
      <w:pPr>
        <w:spacing w:after="240"/>
        <w:rPr>
          <w:rFonts w:ascii="Times New Roman" w:hAnsi="Times New Roman" w:cs="Times New Roman"/>
          <w:b/>
          <w:bCs/>
          <w:sz w:val="24"/>
          <w:szCs w:val="24"/>
        </w:rPr>
      </w:pPr>
      <w:r w:rsidRPr="00904E59">
        <w:rPr>
          <w:rFonts w:ascii="Times New Roman" w:hAnsi="Times New Roman" w:cs="Times New Roman"/>
          <w:b/>
          <w:bCs/>
          <w:sz w:val="24"/>
          <w:szCs w:val="24"/>
        </w:rPr>
        <w:t>[DWC Form IMR 06/2024)]</w:t>
      </w:r>
    </w:p>
    <w:p w14:paraId="61A2EC4F" w14:textId="77777777" w:rsidR="00696721" w:rsidRDefault="00696721" w:rsidP="00696721">
      <w:pPr>
        <w:pStyle w:val="NormalWeb"/>
        <w:spacing w:after="0" w:afterAutospacing="0"/>
        <w:rPr>
          <w:b/>
          <w:bCs/>
          <w:color w:val="000000"/>
        </w:rPr>
      </w:pPr>
      <w:r w:rsidRPr="00696721">
        <w:rPr>
          <w:b/>
          <w:bCs/>
          <w:color w:val="000000"/>
        </w:rPr>
        <w:t>Requesting Physician Information:</w:t>
      </w:r>
    </w:p>
    <w:p w14:paraId="666130D4" w14:textId="062E8FB7" w:rsidR="00696721" w:rsidRPr="00696721" w:rsidRDefault="00696721" w:rsidP="00696721">
      <w:pPr>
        <w:pStyle w:val="NormalWeb"/>
        <w:spacing w:before="0" w:beforeAutospacing="0" w:after="0" w:afterAutospacing="0"/>
        <w:rPr>
          <w:b/>
          <w:bCs/>
          <w:color w:val="000000"/>
        </w:rPr>
      </w:pPr>
      <w:r w:rsidRPr="00696721">
        <w:rPr>
          <w:b/>
          <w:bCs/>
          <w:color w:val="000000"/>
        </w:rPr>
        <w:t xml:space="preserve">Physician First Name: </w:t>
      </w:r>
      <w:r>
        <w:rPr>
          <w:b/>
          <w:bCs/>
          <w:color w:val="000000"/>
        </w:rPr>
        <w:tab/>
        <w:t xml:space="preserve"> </w:t>
      </w:r>
      <w:r w:rsidRPr="00696721">
        <w:rPr>
          <w:b/>
          <w:bCs/>
          <w:color w:val="000000"/>
        </w:rPr>
        <w:t>Middle Initial</w:t>
      </w:r>
      <w:r>
        <w:rPr>
          <w:b/>
          <w:bCs/>
          <w:color w:val="000000"/>
        </w:rPr>
        <w:t>:</w:t>
      </w:r>
      <w:r>
        <w:rPr>
          <w:b/>
          <w:bCs/>
          <w:color w:val="000000"/>
        </w:rPr>
        <w:tab/>
      </w:r>
      <w:r w:rsidRPr="00696721">
        <w:rPr>
          <w:b/>
          <w:bCs/>
          <w:color w:val="000000"/>
        </w:rPr>
        <w:t xml:space="preserve"> Last Name</w:t>
      </w:r>
      <w:r>
        <w:rPr>
          <w:b/>
          <w:bCs/>
          <w:color w:val="000000"/>
        </w:rPr>
        <w:t>:</w:t>
      </w:r>
    </w:p>
    <w:p w14:paraId="399B17C6" w14:textId="3B205DE0" w:rsidR="00696721" w:rsidRPr="00696721" w:rsidRDefault="00696721" w:rsidP="00696721">
      <w:pPr>
        <w:pStyle w:val="NormalWeb"/>
        <w:spacing w:before="0" w:beforeAutospacing="0" w:after="0" w:afterAutospacing="0"/>
        <w:rPr>
          <w:b/>
          <w:bCs/>
          <w:color w:val="000000"/>
        </w:rPr>
      </w:pPr>
      <w:r w:rsidRPr="00696721">
        <w:rPr>
          <w:b/>
          <w:bCs/>
          <w:color w:val="000000"/>
        </w:rPr>
        <w:t xml:space="preserve">Practice Name: </w:t>
      </w:r>
    </w:p>
    <w:p w14:paraId="0DEBC9D8" w14:textId="1A8B7FF7" w:rsidR="00696721" w:rsidRPr="00696721" w:rsidRDefault="00696721" w:rsidP="00696721">
      <w:pPr>
        <w:pStyle w:val="NormalWeb"/>
        <w:spacing w:before="0" w:beforeAutospacing="0" w:after="0" w:afterAutospacing="0"/>
        <w:rPr>
          <w:b/>
          <w:bCs/>
          <w:color w:val="000000"/>
        </w:rPr>
      </w:pPr>
      <w:r w:rsidRPr="00696721">
        <w:rPr>
          <w:b/>
          <w:bCs/>
          <w:color w:val="000000"/>
        </w:rPr>
        <w:t xml:space="preserve">Address: </w:t>
      </w:r>
      <w:r>
        <w:rPr>
          <w:b/>
          <w:bCs/>
          <w:color w:val="000000"/>
        </w:rPr>
        <w:tab/>
      </w:r>
      <w:r w:rsidRPr="00696721">
        <w:rPr>
          <w:b/>
          <w:bCs/>
          <w:color w:val="000000"/>
        </w:rPr>
        <w:t xml:space="preserve"> </w:t>
      </w:r>
      <w:r>
        <w:rPr>
          <w:b/>
          <w:bCs/>
          <w:color w:val="000000"/>
        </w:rPr>
        <w:tab/>
      </w:r>
      <w:r w:rsidRPr="00696721">
        <w:rPr>
          <w:b/>
          <w:bCs/>
          <w:color w:val="000000"/>
        </w:rPr>
        <w:t xml:space="preserve">Number/Unit: </w:t>
      </w:r>
    </w:p>
    <w:p w14:paraId="29AB1ED0" w14:textId="0BE0B132" w:rsidR="00696721" w:rsidRDefault="00696721" w:rsidP="00696721">
      <w:pPr>
        <w:pStyle w:val="NormalWeb"/>
        <w:spacing w:before="0" w:beforeAutospacing="0" w:after="0" w:afterAutospacing="0"/>
        <w:rPr>
          <w:b/>
          <w:bCs/>
          <w:color w:val="000000"/>
        </w:rPr>
      </w:pPr>
      <w:r w:rsidRPr="00696721">
        <w:rPr>
          <w:b/>
          <w:bCs/>
          <w:color w:val="000000"/>
        </w:rPr>
        <w:t xml:space="preserve">State: </w:t>
      </w:r>
      <w:r>
        <w:rPr>
          <w:b/>
          <w:bCs/>
          <w:color w:val="000000"/>
        </w:rPr>
        <w:tab/>
      </w:r>
      <w:r>
        <w:rPr>
          <w:b/>
          <w:bCs/>
          <w:color w:val="000000"/>
        </w:rPr>
        <w:tab/>
      </w:r>
      <w:r>
        <w:rPr>
          <w:b/>
          <w:bCs/>
          <w:color w:val="000000"/>
        </w:rPr>
        <w:tab/>
      </w:r>
      <w:r w:rsidRPr="00696721">
        <w:rPr>
          <w:b/>
          <w:bCs/>
          <w:color w:val="000000"/>
        </w:rPr>
        <w:t xml:space="preserve">Zip Code: </w:t>
      </w:r>
      <w:r>
        <w:rPr>
          <w:b/>
          <w:bCs/>
          <w:color w:val="000000"/>
        </w:rPr>
        <w:tab/>
      </w:r>
      <w:r>
        <w:rPr>
          <w:b/>
          <w:bCs/>
          <w:color w:val="000000"/>
        </w:rPr>
        <w:tab/>
      </w:r>
      <w:r>
        <w:rPr>
          <w:b/>
          <w:bCs/>
          <w:color w:val="000000"/>
        </w:rPr>
        <w:tab/>
      </w:r>
      <w:r w:rsidRPr="00696721">
        <w:rPr>
          <w:b/>
          <w:bCs/>
          <w:color w:val="000000"/>
        </w:rPr>
        <w:t xml:space="preserve"> Telephone Number: </w:t>
      </w:r>
    </w:p>
    <w:p w14:paraId="050CD024" w14:textId="2A1F9DF3" w:rsidR="003626D8" w:rsidRDefault="003626D8" w:rsidP="00696721">
      <w:pPr>
        <w:pStyle w:val="NormalWeb"/>
        <w:spacing w:before="0" w:beforeAutospacing="0" w:after="0" w:afterAutospacing="0"/>
        <w:rPr>
          <w:b/>
          <w:bCs/>
          <w:color w:val="000000"/>
          <w:u w:val="single"/>
        </w:rPr>
      </w:pPr>
      <w:r w:rsidRPr="003626D8">
        <w:rPr>
          <w:b/>
          <w:bCs/>
          <w:color w:val="000000"/>
          <w:u w:val="single"/>
        </w:rPr>
        <w:t>NPI:</w:t>
      </w:r>
      <w:r w:rsidR="00A22638">
        <w:rPr>
          <w:b/>
          <w:bCs/>
          <w:color w:val="000000"/>
          <w:u w:val="single"/>
        </w:rPr>
        <w:t xml:space="preserve"> </w:t>
      </w:r>
    </w:p>
    <w:p w14:paraId="4EDC0F5B" w14:textId="77777777" w:rsidR="00ED71C1" w:rsidRDefault="00ED71C1" w:rsidP="00696721">
      <w:pPr>
        <w:pStyle w:val="NormalWeb"/>
        <w:spacing w:before="0" w:beforeAutospacing="0" w:after="0" w:afterAutospacing="0"/>
        <w:rPr>
          <w:b/>
          <w:bCs/>
          <w:color w:val="000000"/>
          <w:u w:val="single"/>
        </w:rPr>
      </w:pPr>
    </w:p>
    <w:p w14:paraId="74D4BEF1" w14:textId="77777777" w:rsidR="00ED71C1" w:rsidRDefault="00ED71C1" w:rsidP="00696721">
      <w:pPr>
        <w:pStyle w:val="NormalWeb"/>
        <w:spacing w:before="0" w:beforeAutospacing="0" w:after="0" w:afterAutospacing="0"/>
        <w:rPr>
          <w:b/>
          <w:bCs/>
          <w:color w:val="000000"/>
          <w:u w:val="single"/>
        </w:rPr>
      </w:pPr>
    </w:p>
    <w:p w14:paraId="6CCAE81D" w14:textId="77777777" w:rsidR="00B707BE" w:rsidRPr="003626D8" w:rsidRDefault="00B707BE" w:rsidP="00696721">
      <w:pPr>
        <w:pStyle w:val="NormalWeb"/>
        <w:spacing w:before="0" w:beforeAutospacing="0" w:after="0" w:afterAutospacing="0"/>
        <w:rPr>
          <w:b/>
          <w:bCs/>
          <w:color w:val="000000"/>
          <w:u w:val="single"/>
        </w:rPr>
      </w:pPr>
    </w:p>
    <w:p w14:paraId="62675770" w14:textId="77777777" w:rsidR="003626D8" w:rsidRDefault="003626D8" w:rsidP="003626D8">
      <w:pPr>
        <w:spacing w:after="240"/>
        <w:rPr>
          <w:rFonts w:ascii="Times New Roman" w:hAnsi="Times New Roman" w:cs="Times New Roman"/>
          <w:b/>
          <w:bCs/>
          <w:sz w:val="24"/>
          <w:szCs w:val="24"/>
        </w:rPr>
      </w:pPr>
      <w:r>
        <w:rPr>
          <w:rFonts w:ascii="Times New Roman" w:hAnsi="Times New Roman" w:cs="Times New Roman"/>
          <w:b/>
          <w:bCs/>
          <w:sz w:val="24"/>
          <w:szCs w:val="24"/>
        </w:rPr>
        <w:t>Recommendation:</w:t>
      </w:r>
    </w:p>
    <w:p w14:paraId="405A471F" w14:textId="31924219" w:rsidR="003626D8" w:rsidRDefault="003626D8" w:rsidP="003626D8">
      <w:pPr>
        <w:spacing w:after="240"/>
        <w:rPr>
          <w:rFonts w:ascii="Times New Roman" w:hAnsi="Times New Roman" w:cs="Times New Roman"/>
          <w:i/>
          <w:iCs/>
          <w:sz w:val="24"/>
          <w:szCs w:val="24"/>
        </w:rPr>
      </w:pPr>
      <w:r>
        <w:rPr>
          <w:rFonts w:ascii="Times New Roman" w:hAnsi="Times New Roman" w:cs="Times New Roman"/>
          <w:i/>
          <w:iCs/>
          <w:sz w:val="24"/>
          <w:szCs w:val="24"/>
        </w:rPr>
        <w:t xml:space="preserve">The Institute recommends adding a field in the Requesting Physician Information section for the physician’s NPI.  </w:t>
      </w:r>
    </w:p>
    <w:p w14:paraId="4E7BCEFD" w14:textId="143E0997" w:rsidR="003626D8" w:rsidRDefault="003626D8" w:rsidP="003626D8">
      <w:pPr>
        <w:pStyle w:val="Heading2"/>
        <w:spacing w:after="120"/>
        <w:rPr>
          <w:rFonts w:ascii="Times New Roman" w:hAnsi="Times New Roman" w:cs="Times New Roman"/>
          <w:b/>
          <w:bCs/>
          <w:color w:val="auto"/>
          <w:sz w:val="24"/>
          <w:szCs w:val="24"/>
        </w:rPr>
      </w:pPr>
      <w:r w:rsidRPr="00904E59">
        <w:rPr>
          <w:rFonts w:ascii="Times New Roman" w:hAnsi="Times New Roman" w:cs="Times New Roman"/>
          <w:b/>
          <w:bCs/>
          <w:color w:val="auto"/>
          <w:sz w:val="24"/>
          <w:szCs w:val="24"/>
        </w:rPr>
        <w:t xml:space="preserve">§9792.10.2. </w:t>
      </w:r>
      <w:r w:rsidR="00FF345A">
        <w:rPr>
          <w:rFonts w:ascii="Times New Roman" w:hAnsi="Times New Roman" w:cs="Times New Roman"/>
          <w:b/>
          <w:bCs/>
          <w:color w:val="auto"/>
          <w:sz w:val="24"/>
          <w:szCs w:val="24"/>
        </w:rPr>
        <w:t xml:space="preserve"> </w:t>
      </w:r>
      <w:r w:rsidRPr="00904E59">
        <w:rPr>
          <w:rFonts w:ascii="Times New Roman" w:hAnsi="Times New Roman" w:cs="Times New Roman"/>
          <w:b/>
          <w:bCs/>
          <w:color w:val="auto"/>
          <w:sz w:val="24"/>
          <w:szCs w:val="24"/>
        </w:rPr>
        <w:t>Application for Independent Medical Review, DWC Form IMR.</w:t>
      </w:r>
    </w:p>
    <w:p w14:paraId="7EC08D62" w14:textId="77777777" w:rsidR="003626D8" w:rsidRDefault="003626D8" w:rsidP="003626D8">
      <w:pPr>
        <w:spacing w:after="240"/>
        <w:rPr>
          <w:rFonts w:ascii="Times New Roman" w:hAnsi="Times New Roman" w:cs="Times New Roman"/>
          <w:b/>
          <w:bCs/>
          <w:sz w:val="24"/>
          <w:szCs w:val="24"/>
        </w:rPr>
      </w:pPr>
      <w:r w:rsidRPr="00904E59">
        <w:rPr>
          <w:rFonts w:ascii="Times New Roman" w:hAnsi="Times New Roman" w:cs="Times New Roman"/>
          <w:b/>
          <w:bCs/>
          <w:sz w:val="24"/>
          <w:szCs w:val="24"/>
        </w:rPr>
        <w:t>[DWC Form IMR 06/2024)]</w:t>
      </w:r>
    </w:p>
    <w:p w14:paraId="25FBA450" w14:textId="699CC751" w:rsidR="00904E59" w:rsidRPr="002D7C95" w:rsidRDefault="00904E59" w:rsidP="00904E59">
      <w:pPr>
        <w:spacing w:after="240"/>
        <w:rPr>
          <w:rFonts w:ascii="Times New Roman" w:hAnsi="Times New Roman" w:cs="Times New Roman"/>
          <w:b/>
          <w:bCs/>
          <w:sz w:val="24"/>
          <w:szCs w:val="24"/>
          <w:u w:val="single"/>
        </w:rPr>
      </w:pPr>
      <w:r w:rsidRPr="002D7C95">
        <w:rPr>
          <w:rFonts w:ascii="Times New Roman" w:hAnsi="Times New Roman" w:cs="Times New Roman"/>
          <w:b/>
          <w:bCs/>
          <w:strike/>
          <w:color w:val="000000"/>
          <w:sz w:val="24"/>
          <w:szCs w:val="24"/>
        </w:rPr>
        <w:t>Proposed Treating Physician’s Report (DWC Form PR-1) (06/2024)</w:t>
      </w:r>
      <w:r w:rsidR="002D7C95" w:rsidRPr="002D7C95">
        <w:rPr>
          <w:rFonts w:ascii="Times New Roman" w:hAnsi="Times New Roman" w:cs="Times New Roman"/>
          <w:b/>
          <w:bCs/>
          <w:strike/>
          <w:color w:val="000000"/>
          <w:sz w:val="24"/>
          <w:szCs w:val="24"/>
        </w:rPr>
        <w:t xml:space="preserve"> </w:t>
      </w:r>
      <w:r w:rsidR="002D7C95" w:rsidRPr="002D7C95">
        <w:rPr>
          <w:rFonts w:ascii="Times New Roman" w:hAnsi="Times New Roman" w:cs="Times New Roman"/>
          <w:b/>
          <w:bCs/>
          <w:color w:val="000000"/>
          <w:sz w:val="24"/>
          <w:szCs w:val="24"/>
          <w:u w:val="single"/>
        </w:rPr>
        <w:t>Proposed DWC Form IMR (06/2024)</w:t>
      </w:r>
    </w:p>
    <w:p w14:paraId="193CCA07" w14:textId="343A92BC" w:rsidR="00904E59" w:rsidRDefault="00904E59" w:rsidP="00904E59">
      <w:pPr>
        <w:spacing w:after="240"/>
        <w:rPr>
          <w:rFonts w:ascii="Times New Roman" w:hAnsi="Times New Roman" w:cs="Times New Roman"/>
          <w:b/>
          <w:bCs/>
          <w:sz w:val="24"/>
          <w:szCs w:val="24"/>
        </w:rPr>
      </w:pPr>
      <w:r>
        <w:rPr>
          <w:rFonts w:ascii="Times New Roman" w:hAnsi="Times New Roman" w:cs="Times New Roman"/>
          <w:b/>
          <w:bCs/>
          <w:sz w:val="24"/>
          <w:szCs w:val="24"/>
        </w:rPr>
        <w:t>Recommendation:</w:t>
      </w:r>
    </w:p>
    <w:p w14:paraId="1877EC62" w14:textId="69FE25CF" w:rsidR="00904E59" w:rsidRPr="00904E59" w:rsidRDefault="00904E59" w:rsidP="00904E59">
      <w:pPr>
        <w:spacing w:after="240"/>
        <w:rPr>
          <w:rFonts w:ascii="Times New Roman" w:hAnsi="Times New Roman" w:cs="Times New Roman"/>
          <w:i/>
          <w:iCs/>
          <w:sz w:val="24"/>
          <w:szCs w:val="24"/>
        </w:rPr>
      </w:pPr>
      <w:r>
        <w:rPr>
          <w:rFonts w:ascii="Times New Roman" w:hAnsi="Times New Roman" w:cs="Times New Roman"/>
          <w:i/>
          <w:iCs/>
          <w:sz w:val="24"/>
          <w:szCs w:val="24"/>
        </w:rPr>
        <w:t xml:space="preserve">The footer on page 1 should be corrected </w:t>
      </w:r>
      <w:r w:rsidRPr="00904E59">
        <w:rPr>
          <w:rFonts w:ascii="Times New Roman" w:hAnsi="Times New Roman" w:cs="Times New Roman"/>
          <w:i/>
          <w:iCs/>
          <w:sz w:val="24"/>
          <w:szCs w:val="24"/>
        </w:rPr>
        <w:t xml:space="preserve">to </w:t>
      </w:r>
      <w:r w:rsidRPr="00904E59">
        <w:rPr>
          <w:rFonts w:ascii="Times New Roman" w:hAnsi="Times New Roman" w:cs="Times New Roman"/>
          <w:i/>
          <w:iCs/>
          <w:color w:val="000000"/>
          <w:sz w:val="24"/>
          <w:szCs w:val="24"/>
        </w:rPr>
        <w:t>Proposed DWC Form IMR (06/2024)</w:t>
      </w:r>
      <w:r w:rsidR="002D7C95">
        <w:rPr>
          <w:rFonts w:ascii="Times New Roman" w:hAnsi="Times New Roman" w:cs="Times New Roman"/>
          <w:i/>
          <w:iCs/>
          <w:color w:val="000000"/>
          <w:sz w:val="24"/>
          <w:szCs w:val="24"/>
        </w:rPr>
        <w:t>.</w:t>
      </w:r>
      <w:r w:rsidRPr="00904E59">
        <w:rPr>
          <w:rFonts w:ascii="Times New Roman" w:hAnsi="Times New Roman" w:cs="Times New Roman"/>
          <w:i/>
          <w:iCs/>
          <w:sz w:val="24"/>
          <w:szCs w:val="24"/>
        </w:rPr>
        <w:t xml:space="preserve"> </w:t>
      </w:r>
    </w:p>
    <w:p w14:paraId="1BED5AFD" w14:textId="2B02B20F" w:rsidR="00A10F92" w:rsidRPr="00A10F92" w:rsidRDefault="00A10F92" w:rsidP="00A10F92">
      <w:pPr>
        <w:pStyle w:val="Heading2"/>
        <w:spacing w:after="120"/>
        <w:rPr>
          <w:rFonts w:ascii="Times New Roman" w:hAnsi="Times New Roman" w:cs="Times New Roman"/>
          <w:b/>
          <w:bCs/>
          <w:color w:val="auto"/>
          <w:sz w:val="24"/>
          <w:szCs w:val="24"/>
        </w:rPr>
      </w:pPr>
      <w:r w:rsidRPr="00A10F92">
        <w:rPr>
          <w:rFonts w:ascii="Times New Roman" w:hAnsi="Times New Roman" w:cs="Times New Roman"/>
          <w:b/>
          <w:bCs/>
          <w:color w:val="auto"/>
          <w:sz w:val="24"/>
          <w:szCs w:val="24"/>
        </w:rPr>
        <w:t xml:space="preserve">§9792.10.8. </w:t>
      </w:r>
      <w:r w:rsidR="00FF345A">
        <w:rPr>
          <w:rFonts w:ascii="Times New Roman" w:hAnsi="Times New Roman" w:cs="Times New Roman"/>
          <w:b/>
          <w:bCs/>
          <w:color w:val="auto"/>
          <w:sz w:val="24"/>
          <w:szCs w:val="24"/>
        </w:rPr>
        <w:t xml:space="preserve"> </w:t>
      </w:r>
      <w:r w:rsidRPr="00A10F92">
        <w:rPr>
          <w:rFonts w:ascii="Times New Roman" w:hAnsi="Times New Roman" w:cs="Times New Roman"/>
          <w:b/>
          <w:bCs/>
          <w:color w:val="auto"/>
          <w:sz w:val="24"/>
          <w:szCs w:val="24"/>
        </w:rPr>
        <w:t>Independent Medical Review – Payment for Review.</w:t>
      </w:r>
    </w:p>
    <w:p w14:paraId="4C7F31B4" w14:textId="77777777" w:rsidR="00A10F92" w:rsidRPr="00A10F92" w:rsidRDefault="00A10F92" w:rsidP="00A10F92">
      <w:pPr>
        <w:spacing w:after="240"/>
        <w:rPr>
          <w:rFonts w:ascii="Times New Roman" w:hAnsi="Times New Roman" w:cs="Times New Roman"/>
          <w:b/>
          <w:bCs/>
          <w:sz w:val="24"/>
          <w:szCs w:val="24"/>
        </w:rPr>
      </w:pPr>
      <w:r w:rsidRPr="00A10F92">
        <w:rPr>
          <w:rFonts w:ascii="Times New Roman" w:hAnsi="Times New Roman" w:cs="Times New Roman"/>
          <w:b/>
          <w:bCs/>
          <w:sz w:val="24"/>
          <w:szCs w:val="24"/>
        </w:rPr>
        <w:t>(2) For withdrawn reviews:</w:t>
      </w:r>
    </w:p>
    <w:p w14:paraId="46A2A76C" w14:textId="199AAC10" w:rsidR="00A10F92" w:rsidRPr="00A10F92" w:rsidRDefault="00A10F92" w:rsidP="00A10F92">
      <w:pPr>
        <w:spacing w:after="240"/>
        <w:rPr>
          <w:rFonts w:ascii="Times New Roman" w:hAnsi="Times New Roman" w:cs="Times New Roman"/>
          <w:b/>
          <w:bCs/>
          <w:sz w:val="24"/>
          <w:szCs w:val="24"/>
        </w:rPr>
      </w:pPr>
      <w:r w:rsidRPr="00A10F92">
        <w:rPr>
          <w:rFonts w:ascii="Times New Roman" w:hAnsi="Times New Roman" w:cs="Times New Roman"/>
          <w:b/>
          <w:bCs/>
          <w:sz w:val="24"/>
          <w:szCs w:val="24"/>
        </w:rPr>
        <w:t>(A) $115.00 for each application where review is terminated by the independent review organization prior to the receipt of the documentation and information provided under section 9792.10.5 by a medical reviewer.</w:t>
      </w:r>
    </w:p>
    <w:p w14:paraId="6DAAB13F" w14:textId="12E49050" w:rsidR="00A10F92" w:rsidRDefault="00A10F92" w:rsidP="00A10F92">
      <w:pPr>
        <w:spacing w:after="240"/>
        <w:rPr>
          <w:rFonts w:ascii="Times New Roman" w:hAnsi="Times New Roman" w:cs="Times New Roman"/>
          <w:b/>
          <w:bCs/>
          <w:sz w:val="24"/>
          <w:szCs w:val="24"/>
        </w:rPr>
      </w:pPr>
      <w:r w:rsidRPr="00A10F92">
        <w:rPr>
          <w:rFonts w:ascii="Times New Roman" w:hAnsi="Times New Roman" w:cs="Times New Roman"/>
          <w:b/>
          <w:bCs/>
          <w:sz w:val="24"/>
          <w:szCs w:val="24"/>
        </w:rPr>
        <w:t xml:space="preserve">(B) If the review of an application and documentation and information provided under section 9792.10.5 is terminated by the independent review organization </w:t>
      </w:r>
      <w:r w:rsidRPr="002D641E">
        <w:rPr>
          <w:rFonts w:ascii="Times New Roman" w:hAnsi="Times New Roman" w:cs="Times New Roman"/>
          <w:b/>
          <w:bCs/>
          <w:strike/>
          <w:sz w:val="24"/>
          <w:szCs w:val="24"/>
        </w:rPr>
        <w:t xml:space="preserve">during or </w:t>
      </w:r>
      <w:proofErr w:type="gramStart"/>
      <w:r w:rsidRPr="00A10F92">
        <w:rPr>
          <w:rFonts w:ascii="Times New Roman" w:hAnsi="Times New Roman" w:cs="Times New Roman"/>
          <w:b/>
          <w:bCs/>
          <w:sz w:val="24"/>
          <w:szCs w:val="24"/>
        </w:rPr>
        <w:t>subsequent to</w:t>
      </w:r>
      <w:proofErr w:type="gramEnd"/>
      <w:r w:rsidRPr="00A10F92">
        <w:rPr>
          <w:rFonts w:ascii="Times New Roman" w:hAnsi="Times New Roman" w:cs="Times New Roman"/>
          <w:b/>
          <w:bCs/>
          <w:sz w:val="24"/>
          <w:szCs w:val="24"/>
        </w:rPr>
        <w:t xml:space="preserve"> the receipt of the documentation and information provided under section 9792.10.5 by a medical reviewer, the cost will be the same as if a determination under section 9792.10.6(b) had been issued by the medical reviewer.</w:t>
      </w:r>
    </w:p>
    <w:p w14:paraId="224BF0CE" w14:textId="12256579" w:rsidR="00A10F92" w:rsidRDefault="00391037" w:rsidP="00A10F92">
      <w:pPr>
        <w:spacing w:after="240"/>
        <w:rPr>
          <w:rFonts w:ascii="Times New Roman" w:hAnsi="Times New Roman" w:cs="Times New Roman"/>
          <w:b/>
          <w:bCs/>
          <w:sz w:val="24"/>
          <w:szCs w:val="24"/>
        </w:rPr>
      </w:pPr>
      <w:r>
        <w:rPr>
          <w:rFonts w:ascii="Times New Roman" w:hAnsi="Times New Roman" w:cs="Times New Roman"/>
          <w:b/>
          <w:bCs/>
          <w:sz w:val="24"/>
          <w:szCs w:val="24"/>
        </w:rPr>
        <w:t>Recommendation</w:t>
      </w:r>
      <w:r w:rsidR="00A10F92">
        <w:rPr>
          <w:rFonts w:ascii="Times New Roman" w:hAnsi="Times New Roman" w:cs="Times New Roman"/>
          <w:b/>
          <w:bCs/>
          <w:sz w:val="24"/>
          <w:szCs w:val="24"/>
        </w:rPr>
        <w:t>:</w:t>
      </w:r>
    </w:p>
    <w:p w14:paraId="5A64BEF3" w14:textId="71B8310E" w:rsidR="00A10F92" w:rsidRPr="00A10F92" w:rsidRDefault="00A10F92" w:rsidP="00A10F92">
      <w:pPr>
        <w:spacing w:after="240"/>
        <w:rPr>
          <w:rFonts w:ascii="Times New Roman" w:hAnsi="Times New Roman" w:cs="Times New Roman"/>
          <w:i/>
          <w:iCs/>
          <w:sz w:val="24"/>
          <w:szCs w:val="24"/>
        </w:rPr>
      </w:pPr>
      <w:r>
        <w:rPr>
          <w:rFonts w:ascii="Times New Roman" w:hAnsi="Times New Roman" w:cs="Times New Roman"/>
          <w:i/>
          <w:iCs/>
          <w:sz w:val="24"/>
          <w:szCs w:val="24"/>
        </w:rPr>
        <w:t>The Institute request</w:t>
      </w:r>
      <w:r w:rsidR="00391037">
        <w:rPr>
          <w:rFonts w:ascii="Times New Roman" w:hAnsi="Times New Roman" w:cs="Times New Roman"/>
          <w:i/>
          <w:iCs/>
          <w:sz w:val="24"/>
          <w:szCs w:val="24"/>
        </w:rPr>
        <w:t>s</w:t>
      </w:r>
      <w:r>
        <w:rPr>
          <w:rFonts w:ascii="Times New Roman" w:hAnsi="Times New Roman" w:cs="Times New Roman"/>
          <w:i/>
          <w:iCs/>
          <w:sz w:val="24"/>
          <w:szCs w:val="24"/>
        </w:rPr>
        <w:t xml:space="preserve"> clarification of the term “during or subsequent to” in subsection (2)(B).</w:t>
      </w:r>
      <w:r w:rsidR="002D641E">
        <w:rPr>
          <w:rFonts w:ascii="Times New Roman" w:hAnsi="Times New Roman" w:cs="Times New Roman"/>
          <w:i/>
          <w:iCs/>
          <w:sz w:val="24"/>
          <w:szCs w:val="24"/>
        </w:rPr>
        <w:t xml:space="preserve">  Termination can only occur before or after the receipt of documentation.  </w:t>
      </w:r>
      <w:r>
        <w:rPr>
          <w:rFonts w:ascii="Times New Roman" w:hAnsi="Times New Roman" w:cs="Times New Roman"/>
          <w:i/>
          <w:iCs/>
          <w:sz w:val="24"/>
          <w:szCs w:val="24"/>
        </w:rPr>
        <w:t xml:space="preserve">Subsection (2)(A) provides that </w:t>
      </w:r>
      <w:r w:rsidR="00391037">
        <w:rPr>
          <w:rFonts w:ascii="Times New Roman" w:hAnsi="Times New Roman" w:cs="Times New Roman"/>
          <w:i/>
          <w:iCs/>
          <w:sz w:val="24"/>
          <w:szCs w:val="24"/>
        </w:rPr>
        <w:t xml:space="preserve">the required </w:t>
      </w:r>
      <w:r>
        <w:rPr>
          <w:rFonts w:ascii="Times New Roman" w:hAnsi="Times New Roman" w:cs="Times New Roman"/>
          <w:i/>
          <w:iCs/>
          <w:sz w:val="24"/>
          <w:szCs w:val="24"/>
        </w:rPr>
        <w:t>payment for a withdrawn</w:t>
      </w:r>
      <w:r w:rsidR="00391037">
        <w:rPr>
          <w:rFonts w:ascii="Times New Roman" w:hAnsi="Times New Roman" w:cs="Times New Roman"/>
          <w:i/>
          <w:iCs/>
          <w:sz w:val="24"/>
          <w:szCs w:val="24"/>
        </w:rPr>
        <w:t xml:space="preserve"> review is $115</w:t>
      </w:r>
      <w:r w:rsidR="00A22638">
        <w:rPr>
          <w:rFonts w:ascii="Times New Roman" w:hAnsi="Times New Roman" w:cs="Times New Roman"/>
          <w:i/>
          <w:iCs/>
          <w:sz w:val="24"/>
          <w:szCs w:val="24"/>
        </w:rPr>
        <w:t>.00</w:t>
      </w:r>
      <w:r w:rsidR="00391037">
        <w:rPr>
          <w:rFonts w:ascii="Times New Roman" w:hAnsi="Times New Roman" w:cs="Times New Roman"/>
          <w:i/>
          <w:iCs/>
          <w:sz w:val="24"/>
          <w:szCs w:val="24"/>
        </w:rPr>
        <w:t xml:space="preserve"> if the review is terminated </w:t>
      </w:r>
      <w:r w:rsidR="00391037" w:rsidRPr="00391037">
        <w:rPr>
          <w:rFonts w:ascii="Times New Roman" w:hAnsi="Times New Roman" w:cs="Times New Roman"/>
          <w:i/>
          <w:iCs/>
          <w:sz w:val="24"/>
          <w:szCs w:val="24"/>
          <w:u w:val="single"/>
        </w:rPr>
        <w:t>prior to receipt</w:t>
      </w:r>
      <w:r w:rsidR="00391037">
        <w:rPr>
          <w:rFonts w:ascii="Times New Roman" w:hAnsi="Times New Roman" w:cs="Times New Roman"/>
          <w:i/>
          <w:iCs/>
          <w:sz w:val="24"/>
          <w:szCs w:val="24"/>
        </w:rPr>
        <w:t xml:space="preserve"> of documentation by the medical reviewer.</w:t>
      </w:r>
      <w:r w:rsidR="002D641E">
        <w:rPr>
          <w:rFonts w:ascii="Times New Roman" w:hAnsi="Times New Roman" w:cs="Times New Roman"/>
          <w:i/>
          <w:iCs/>
          <w:sz w:val="24"/>
          <w:szCs w:val="24"/>
        </w:rPr>
        <w:t xml:space="preserve">  If full payment is to be required at a point prior to receipt of the documentation and information</w:t>
      </w:r>
      <w:r w:rsidR="00391037">
        <w:rPr>
          <w:rFonts w:ascii="Times New Roman" w:hAnsi="Times New Roman" w:cs="Times New Roman"/>
          <w:i/>
          <w:iCs/>
          <w:sz w:val="24"/>
          <w:szCs w:val="24"/>
        </w:rPr>
        <w:t xml:space="preserve"> </w:t>
      </w:r>
      <w:r w:rsidR="002D641E">
        <w:rPr>
          <w:rFonts w:ascii="Times New Roman" w:hAnsi="Times New Roman" w:cs="Times New Roman"/>
          <w:i/>
          <w:iCs/>
          <w:sz w:val="24"/>
          <w:szCs w:val="24"/>
        </w:rPr>
        <w:t xml:space="preserve">a specific point in time is </w:t>
      </w:r>
      <w:r w:rsidR="00C451E9">
        <w:rPr>
          <w:rFonts w:ascii="Times New Roman" w:hAnsi="Times New Roman" w:cs="Times New Roman"/>
          <w:i/>
          <w:iCs/>
          <w:sz w:val="24"/>
          <w:szCs w:val="24"/>
        </w:rPr>
        <w:t>required,</w:t>
      </w:r>
      <w:r w:rsidR="002D641E">
        <w:rPr>
          <w:rFonts w:ascii="Times New Roman" w:hAnsi="Times New Roman" w:cs="Times New Roman"/>
          <w:i/>
          <w:iCs/>
          <w:sz w:val="24"/>
          <w:szCs w:val="24"/>
        </w:rPr>
        <w:t xml:space="preserve"> i.e.</w:t>
      </w:r>
      <w:r w:rsidR="00A22638">
        <w:rPr>
          <w:rFonts w:ascii="Times New Roman" w:hAnsi="Times New Roman" w:cs="Times New Roman"/>
          <w:i/>
          <w:iCs/>
          <w:sz w:val="24"/>
          <w:szCs w:val="24"/>
        </w:rPr>
        <w:t>,</w:t>
      </w:r>
      <w:r w:rsidR="002D641E">
        <w:rPr>
          <w:rFonts w:ascii="Times New Roman" w:hAnsi="Times New Roman" w:cs="Times New Roman"/>
          <w:i/>
          <w:iCs/>
          <w:sz w:val="24"/>
          <w:szCs w:val="24"/>
        </w:rPr>
        <w:t xml:space="preserve"> X days after the </w:t>
      </w:r>
      <w:r w:rsidR="00B22645">
        <w:rPr>
          <w:rFonts w:ascii="Times New Roman" w:hAnsi="Times New Roman" w:cs="Times New Roman"/>
          <w:i/>
          <w:iCs/>
          <w:sz w:val="24"/>
          <w:szCs w:val="24"/>
        </w:rPr>
        <w:t>mailing</w:t>
      </w:r>
      <w:r w:rsidR="002D641E">
        <w:rPr>
          <w:rFonts w:ascii="Times New Roman" w:hAnsi="Times New Roman" w:cs="Times New Roman"/>
          <w:i/>
          <w:iCs/>
          <w:sz w:val="24"/>
          <w:szCs w:val="24"/>
        </w:rPr>
        <w:t xml:space="preserve"> of the NORFI.</w:t>
      </w:r>
      <w:r w:rsidR="00391037">
        <w:rPr>
          <w:rFonts w:ascii="Times New Roman" w:hAnsi="Times New Roman" w:cs="Times New Roman"/>
          <w:i/>
          <w:iCs/>
          <w:sz w:val="24"/>
          <w:szCs w:val="24"/>
        </w:rPr>
        <w:t xml:space="preserve"> </w:t>
      </w:r>
    </w:p>
    <w:p w14:paraId="38080F2F" w14:textId="2175B8E0" w:rsidR="007A6D3B" w:rsidRPr="007A6D3B" w:rsidRDefault="007A6D3B" w:rsidP="007A6D3B">
      <w:pPr>
        <w:pStyle w:val="Heading2"/>
        <w:spacing w:after="120"/>
        <w:rPr>
          <w:rFonts w:ascii="Times New Roman" w:hAnsi="Times New Roman" w:cs="Times New Roman"/>
          <w:b/>
          <w:bCs/>
          <w:color w:val="auto"/>
          <w:sz w:val="24"/>
          <w:szCs w:val="24"/>
        </w:rPr>
      </w:pPr>
      <w:r w:rsidRPr="007A6D3B">
        <w:rPr>
          <w:rFonts w:ascii="Times New Roman" w:hAnsi="Times New Roman" w:cs="Times New Roman"/>
          <w:b/>
          <w:bCs/>
          <w:color w:val="auto"/>
          <w:sz w:val="24"/>
          <w:szCs w:val="24"/>
        </w:rPr>
        <w:t xml:space="preserve">§9792.10.8. </w:t>
      </w:r>
      <w:r w:rsidR="00FF345A">
        <w:rPr>
          <w:rFonts w:ascii="Times New Roman" w:hAnsi="Times New Roman" w:cs="Times New Roman"/>
          <w:b/>
          <w:bCs/>
          <w:color w:val="auto"/>
          <w:sz w:val="24"/>
          <w:szCs w:val="24"/>
        </w:rPr>
        <w:t xml:space="preserve"> </w:t>
      </w:r>
      <w:r w:rsidRPr="007A6D3B">
        <w:rPr>
          <w:rFonts w:ascii="Times New Roman" w:hAnsi="Times New Roman" w:cs="Times New Roman"/>
          <w:b/>
          <w:bCs/>
          <w:color w:val="auto"/>
          <w:sz w:val="24"/>
          <w:szCs w:val="24"/>
        </w:rPr>
        <w:t>Independent Medical Review – Payment for Review.</w:t>
      </w:r>
    </w:p>
    <w:p w14:paraId="6D1F1418" w14:textId="70FCA5F9" w:rsidR="007A6D3B" w:rsidRDefault="007A6D3B" w:rsidP="007A6D3B">
      <w:pPr>
        <w:spacing w:after="240"/>
        <w:rPr>
          <w:rFonts w:ascii="Times New Roman" w:hAnsi="Times New Roman" w:cs="Times New Roman"/>
          <w:b/>
          <w:bCs/>
          <w:strike/>
          <w:sz w:val="24"/>
          <w:szCs w:val="24"/>
        </w:rPr>
      </w:pPr>
      <w:r w:rsidRPr="007A6D3B">
        <w:rPr>
          <w:rFonts w:ascii="Times New Roman" w:hAnsi="Times New Roman" w:cs="Times New Roman"/>
          <w:b/>
          <w:bCs/>
          <w:sz w:val="24"/>
          <w:szCs w:val="24"/>
        </w:rPr>
        <w:t xml:space="preserve">(3) Re-reviews: If it is determined that a re-review is required under Labor Code section 4610.6(h), the re-review shall be completed without any additional cost. </w:t>
      </w:r>
      <w:r w:rsidRPr="007A6D3B">
        <w:rPr>
          <w:rFonts w:ascii="Times New Roman" w:hAnsi="Times New Roman" w:cs="Times New Roman"/>
          <w:b/>
          <w:bCs/>
          <w:strike/>
          <w:sz w:val="24"/>
          <w:szCs w:val="24"/>
        </w:rPr>
        <w:t xml:space="preserve">Each subsequent order for re-review on a single IMR case beyond the first re-review shall incur a fee of $295.00 to be paid by the </w:t>
      </w:r>
      <w:proofErr w:type="gramStart"/>
      <w:r w:rsidRPr="007A6D3B">
        <w:rPr>
          <w:rFonts w:ascii="Times New Roman" w:hAnsi="Times New Roman" w:cs="Times New Roman"/>
          <w:b/>
          <w:bCs/>
          <w:strike/>
          <w:sz w:val="24"/>
          <w:szCs w:val="24"/>
        </w:rPr>
        <w:t>claims</w:t>
      </w:r>
      <w:proofErr w:type="gramEnd"/>
      <w:r w:rsidRPr="007A6D3B">
        <w:rPr>
          <w:rFonts w:ascii="Times New Roman" w:hAnsi="Times New Roman" w:cs="Times New Roman"/>
          <w:b/>
          <w:bCs/>
          <w:strike/>
          <w:sz w:val="24"/>
          <w:szCs w:val="24"/>
        </w:rPr>
        <w:t xml:space="preserve"> administrator.</w:t>
      </w:r>
    </w:p>
    <w:p w14:paraId="6BD95ED4" w14:textId="77777777" w:rsidR="004D66D0" w:rsidRDefault="004D66D0" w:rsidP="007A6D3B">
      <w:pPr>
        <w:spacing w:after="240"/>
        <w:rPr>
          <w:rFonts w:ascii="Times New Roman" w:hAnsi="Times New Roman" w:cs="Times New Roman"/>
          <w:b/>
          <w:bCs/>
          <w:sz w:val="24"/>
          <w:szCs w:val="24"/>
        </w:rPr>
      </w:pPr>
    </w:p>
    <w:p w14:paraId="64BF6DAE" w14:textId="77777777" w:rsidR="004D66D0" w:rsidRDefault="004D66D0" w:rsidP="004D66D0">
      <w:pPr>
        <w:spacing w:after="0"/>
        <w:rPr>
          <w:rFonts w:ascii="Times New Roman" w:hAnsi="Times New Roman" w:cs="Times New Roman"/>
          <w:b/>
          <w:bCs/>
          <w:sz w:val="24"/>
          <w:szCs w:val="24"/>
        </w:rPr>
      </w:pPr>
    </w:p>
    <w:p w14:paraId="6A8C5935" w14:textId="0D17CA7A" w:rsidR="007A6D3B" w:rsidRDefault="007A6D3B" w:rsidP="004D66D0">
      <w:pPr>
        <w:spacing w:after="0"/>
        <w:rPr>
          <w:rFonts w:ascii="Times New Roman" w:hAnsi="Times New Roman" w:cs="Times New Roman"/>
          <w:b/>
          <w:bCs/>
          <w:sz w:val="24"/>
          <w:szCs w:val="24"/>
        </w:rPr>
      </w:pPr>
      <w:r w:rsidRPr="007A6D3B">
        <w:rPr>
          <w:rFonts w:ascii="Times New Roman" w:hAnsi="Times New Roman" w:cs="Times New Roman"/>
          <w:b/>
          <w:bCs/>
          <w:sz w:val="24"/>
          <w:szCs w:val="24"/>
        </w:rPr>
        <w:t>R</w:t>
      </w:r>
      <w:r>
        <w:rPr>
          <w:rFonts w:ascii="Times New Roman" w:hAnsi="Times New Roman" w:cs="Times New Roman"/>
          <w:b/>
          <w:bCs/>
          <w:sz w:val="24"/>
          <w:szCs w:val="24"/>
        </w:rPr>
        <w:t>ecommendation:</w:t>
      </w:r>
    </w:p>
    <w:p w14:paraId="1CEA35D8" w14:textId="77777777" w:rsidR="00830D93" w:rsidRDefault="00830D93" w:rsidP="00830D93">
      <w:pPr>
        <w:spacing w:after="0"/>
        <w:rPr>
          <w:rFonts w:ascii="Times New Roman" w:hAnsi="Times New Roman" w:cs="Times New Roman"/>
          <w:i/>
          <w:iCs/>
          <w:sz w:val="24"/>
          <w:szCs w:val="24"/>
        </w:rPr>
      </w:pPr>
    </w:p>
    <w:p w14:paraId="1A925B90" w14:textId="59048188" w:rsidR="007A6D3B" w:rsidRDefault="007A6D3B" w:rsidP="007A6D3B">
      <w:pPr>
        <w:spacing w:after="240"/>
        <w:rPr>
          <w:rFonts w:ascii="Times New Roman" w:hAnsi="Times New Roman" w:cs="Times New Roman"/>
          <w:i/>
          <w:iCs/>
          <w:sz w:val="24"/>
          <w:szCs w:val="24"/>
        </w:rPr>
      </w:pPr>
      <w:r w:rsidRPr="007A6D3B">
        <w:rPr>
          <w:rFonts w:ascii="Times New Roman" w:hAnsi="Times New Roman" w:cs="Times New Roman"/>
          <w:i/>
          <w:iCs/>
          <w:sz w:val="24"/>
          <w:szCs w:val="24"/>
        </w:rPr>
        <w:t>The Institute</w:t>
      </w:r>
      <w:r>
        <w:rPr>
          <w:rFonts w:ascii="Times New Roman" w:hAnsi="Times New Roman" w:cs="Times New Roman"/>
          <w:i/>
          <w:iCs/>
          <w:sz w:val="24"/>
          <w:szCs w:val="24"/>
        </w:rPr>
        <w:t xml:space="preserve"> recommends that the proposed charge for a second or subsequent re-review be deleted.  If the WCAB reverses</w:t>
      </w:r>
      <w:r w:rsidR="001752B9">
        <w:rPr>
          <w:rFonts w:ascii="Times New Roman" w:hAnsi="Times New Roman" w:cs="Times New Roman"/>
          <w:i/>
          <w:iCs/>
          <w:sz w:val="24"/>
          <w:szCs w:val="24"/>
        </w:rPr>
        <w:t xml:space="preserve"> an IMR determination resulting in the need for a re-review, the claims administrator should not be responsible for that cost. </w:t>
      </w:r>
    </w:p>
    <w:p w14:paraId="2AC4DE95" w14:textId="77777777" w:rsidR="00830D93" w:rsidRPr="007A6D3B" w:rsidRDefault="00830D93" w:rsidP="00830D93">
      <w:pPr>
        <w:spacing w:after="0"/>
        <w:rPr>
          <w:rFonts w:ascii="Times New Roman" w:hAnsi="Times New Roman" w:cs="Times New Roman"/>
          <w:i/>
          <w:iCs/>
          <w:sz w:val="24"/>
          <w:szCs w:val="24"/>
        </w:rPr>
      </w:pPr>
    </w:p>
    <w:p w14:paraId="5A85AFF9" w14:textId="27348ED6" w:rsidR="00216855" w:rsidRDefault="001A4094" w:rsidP="00216855">
      <w:pPr>
        <w:tabs>
          <w:tab w:val="left" w:pos="900"/>
        </w:tabs>
        <w:spacing w:after="0" w:line="240" w:lineRule="auto"/>
        <w:rPr>
          <w:rFonts w:ascii="Times New Roman" w:eastAsia="Calibri" w:hAnsi="Times New Roman" w:cs="Times New Roman"/>
          <w:sz w:val="24"/>
          <w:szCs w:val="24"/>
        </w:rPr>
      </w:pPr>
      <w:r w:rsidRPr="001A4094">
        <w:rPr>
          <w:rFonts w:ascii="Times New Roman" w:eastAsia="Times New Roman" w:hAnsi="Times New Roman" w:cs="Times New Roman"/>
          <w:sz w:val="24"/>
          <w:szCs w:val="24"/>
        </w:rPr>
        <w:t xml:space="preserve">Sincerely, </w:t>
      </w:r>
    </w:p>
    <w:p w14:paraId="4AC1B7A6" w14:textId="04AF48EE" w:rsidR="00522D44" w:rsidRDefault="00522D44" w:rsidP="00216855">
      <w:pPr>
        <w:tabs>
          <w:tab w:val="left" w:pos="900"/>
        </w:tabs>
        <w:spacing w:after="0" w:line="240" w:lineRule="auto"/>
        <w:rPr>
          <w:rFonts w:ascii="Times New Roman" w:eastAsia="Calibri" w:hAnsi="Times New Roman" w:cs="Times New Roman"/>
          <w:sz w:val="24"/>
          <w:szCs w:val="24"/>
        </w:rPr>
      </w:pPr>
    </w:p>
    <w:p w14:paraId="78E39C83" w14:textId="519F4CF6" w:rsidR="00F14B4D" w:rsidRPr="00B02CD4" w:rsidRDefault="00E46A3F" w:rsidP="00540502">
      <w:pPr>
        <w:pStyle w:val="MessageHeader"/>
        <w:keepLines w:val="0"/>
        <w:tabs>
          <w:tab w:val="left" w:pos="900"/>
        </w:tabs>
        <w:spacing w:line="240" w:lineRule="auto"/>
        <w:ind w:left="0" w:firstLine="0"/>
        <w:rPr>
          <w:rFonts w:ascii="Brush Script MT" w:hAnsi="Brush Script MT"/>
          <w:spacing w:val="0"/>
          <w:sz w:val="40"/>
          <w:szCs w:val="40"/>
        </w:rPr>
      </w:pPr>
      <w:r w:rsidRPr="00B02CD4">
        <w:rPr>
          <w:rFonts w:ascii="Brush Script MT" w:hAnsi="Brush Script MT"/>
          <w:spacing w:val="0"/>
          <w:sz w:val="40"/>
          <w:szCs w:val="40"/>
        </w:rPr>
        <w:t>Sara Widener-Brightwell</w:t>
      </w:r>
    </w:p>
    <w:p w14:paraId="7589E059" w14:textId="15AE99A4" w:rsidR="00F14B4D" w:rsidRDefault="00E46A3F" w:rsidP="00F14B4D">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Sara Widener-Brightwell, </w:t>
      </w:r>
      <w:r w:rsidR="00515B92">
        <w:rPr>
          <w:rFonts w:ascii="Times New Roman" w:hAnsi="Times New Roman"/>
          <w:spacing w:val="0"/>
          <w:sz w:val="24"/>
          <w:szCs w:val="24"/>
        </w:rPr>
        <w:t xml:space="preserve">SVP Claims and </w:t>
      </w:r>
      <w:r>
        <w:rPr>
          <w:rFonts w:ascii="Times New Roman" w:hAnsi="Times New Roman"/>
          <w:spacing w:val="0"/>
          <w:sz w:val="24"/>
          <w:szCs w:val="24"/>
        </w:rPr>
        <w:t>General Counsel</w:t>
      </w:r>
    </w:p>
    <w:p w14:paraId="412D555E" w14:textId="76B63A34" w:rsidR="007457DC" w:rsidRPr="001F50D1" w:rsidRDefault="007457DC" w:rsidP="00F14B4D">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California Workers’ Compensation Institute </w:t>
      </w:r>
    </w:p>
    <w:p w14:paraId="6F482B28" w14:textId="77777777" w:rsidR="00540502" w:rsidRDefault="00540502" w:rsidP="00540502">
      <w:pPr>
        <w:pStyle w:val="MessageHeader"/>
        <w:keepLines w:val="0"/>
        <w:tabs>
          <w:tab w:val="left" w:pos="900"/>
        </w:tabs>
        <w:spacing w:after="0" w:line="240" w:lineRule="auto"/>
        <w:ind w:left="0" w:firstLine="0"/>
        <w:rPr>
          <w:rFonts w:ascii="Times New Roman" w:hAnsi="Times New Roman"/>
          <w:spacing w:val="0"/>
          <w:sz w:val="24"/>
          <w:szCs w:val="24"/>
        </w:rPr>
      </w:pPr>
    </w:p>
    <w:p w14:paraId="7110DABF" w14:textId="2D27E9FC" w:rsidR="00F14B4D" w:rsidRPr="00C36170" w:rsidRDefault="00522D44" w:rsidP="00540502">
      <w:pPr>
        <w:pStyle w:val="MessageHeader"/>
        <w:keepLines w:val="0"/>
        <w:tabs>
          <w:tab w:val="left" w:pos="900"/>
        </w:tabs>
        <w:spacing w:after="0" w:line="240" w:lineRule="auto"/>
        <w:ind w:left="0" w:firstLine="0"/>
        <w:rPr>
          <w:rFonts w:ascii="Times New Roman" w:hAnsi="Times New Roman"/>
          <w:spacing w:val="0"/>
          <w:sz w:val="24"/>
          <w:szCs w:val="24"/>
        </w:rPr>
      </w:pPr>
      <w:r w:rsidRPr="00C36170">
        <w:rPr>
          <w:rFonts w:ascii="Times New Roman" w:hAnsi="Times New Roman"/>
          <w:spacing w:val="0"/>
          <w:sz w:val="24"/>
          <w:szCs w:val="24"/>
        </w:rPr>
        <w:t>S</w:t>
      </w:r>
      <w:r w:rsidR="00E46A3F" w:rsidRPr="00C36170">
        <w:rPr>
          <w:rFonts w:ascii="Times New Roman" w:hAnsi="Times New Roman"/>
          <w:spacing w:val="0"/>
          <w:sz w:val="24"/>
          <w:szCs w:val="24"/>
        </w:rPr>
        <w:t>WB</w:t>
      </w:r>
      <w:r w:rsidR="00F14B4D" w:rsidRPr="00C36170">
        <w:rPr>
          <w:rFonts w:ascii="Times New Roman" w:hAnsi="Times New Roman"/>
          <w:spacing w:val="0"/>
          <w:sz w:val="24"/>
          <w:szCs w:val="24"/>
        </w:rPr>
        <w:t>/pm</w:t>
      </w:r>
    </w:p>
    <w:p w14:paraId="2EA4D69C" w14:textId="77777777" w:rsidR="00F14B4D" w:rsidRPr="001F50D1" w:rsidRDefault="00F14B4D" w:rsidP="00F14B4D">
      <w:pPr>
        <w:pStyle w:val="MessageHeader"/>
        <w:keepLines w:val="0"/>
        <w:tabs>
          <w:tab w:val="left" w:pos="900"/>
        </w:tabs>
        <w:spacing w:after="0" w:line="240" w:lineRule="auto"/>
        <w:ind w:left="0" w:firstLine="0"/>
        <w:rPr>
          <w:rFonts w:ascii="Times New Roman" w:hAnsi="Times New Roman"/>
          <w:spacing w:val="0"/>
          <w:sz w:val="24"/>
          <w:szCs w:val="24"/>
        </w:rPr>
      </w:pPr>
    </w:p>
    <w:p w14:paraId="1D1E60FE" w14:textId="5E87D8CB" w:rsidR="00ED5A16" w:rsidRPr="001F50D1" w:rsidRDefault="00F14B4D" w:rsidP="00001A05">
      <w:pPr>
        <w:pStyle w:val="MessageHeader"/>
        <w:keepLines w:val="0"/>
        <w:tabs>
          <w:tab w:val="left" w:pos="900"/>
        </w:tabs>
        <w:spacing w:after="0" w:line="240" w:lineRule="auto"/>
        <w:ind w:left="0" w:firstLine="0"/>
        <w:rPr>
          <w:rFonts w:ascii="Times New Roman" w:hAnsi="Times New Roman"/>
          <w:spacing w:val="0"/>
          <w:sz w:val="24"/>
          <w:szCs w:val="24"/>
        </w:rPr>
      </w:pPr>
      <w:r w:rsidRPr="001F50D1">
        <w:rPr>
          <w:rFonts w:ascii="Times New Roman" w:hAnsi="Times New Roman"/>
          <w:spacing w:val="0"/>
          <w:sz w:val="24"/>
          <w:szCs w:val="24"/>
        </w:rPr>
        <w:t xml:space="preserve">cc:  </w:t>
      </w:r>
      <w:r w:rsidR="002C28E5">
        <w:rPr>
          <w:rFonts w:ascii="Times New Roman" w:hAnsi="Times New Roman"/>
          <w:spacing w:val="0"/>
          <w:sz w:val="24"/>
          <w:szCs w:val="24"/>
        </w:rPr>
        <w:t>K</w:t>
      </w:r>
      <w:r w:rsidRPr="001F50D1">
        <w:rPr>
          <w:rFonts w:ascii="Times New Roman" w:hAnsi="Times New Roman"/>
          <w:spacing w:val="0"/>
          <w:sz w:val="24"/>
          <w:szCs w:val="24"/>
        </w:rPr>
        <w:t>atrina Hagen, DIR Executive Director</w:t>
      </w:r>
    </w:p>
    <w:p w14:paraId="435FA4D3" w14:textId="72EF93D2" w:rsidR="002C28E5" w:rsidRDefault="002C28E5" w:rsidP="00F14B4D">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George</w:t>
      </w:r>
      <w:r w:rsidRPr="001F50D1">
        <w:rPr>
          <w:rFonts w:ascii="Times New Roman" w:hAnsi="Times New Roman"/>
          <w:spacing w:val="0"/>
          <w:sz w:val="24"/>
          <w:szCs w:val="24"/>
        </w:rPr>
        <w:t xml:space="preserve"> Parisotto, DWC Administrative Director</w:t>
      </w:r>
      <w:r w:rsidR="00F14B4D" w:rsidRPr="001F50D1">
        <w:rPr>
          <w:rFonts w:ascii="Times New Roman" w:hAnsi="Times New Roman"/>
          <w:spacing w:val="0"/>
          <w:sz w:val="24"/>
          <w:szCs w:val="24"/>
        </w:rPr>
        <w:t xml:space="preserve">       </w:t>
      </w:r>
    </w:p>
    <w:p w14:paraId="101E1CEB" w14:textId="2419200F" w:rsidR="00F14B4D" w:rsidRPr="001F50D1" w:rsidRDefault="002C28E5" w:rsidP="00F14B4D">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w:t>
      </w:r>
      <w:r w:rsidR="00F14B4D" w:rsidRPr="001F50D1">
        <w:rPr>
          <w:rFonts w:ascii="Times New Roman" w:hAnsi="Times New Roman"/>
          <w:spacing w:val="0"/>
          <w:sz w:val="24"/>
          <w:szCs w:val="24"/>
        </w:rPr>
        <w:t>CWCI Claims Committee</w:t>
      </w:r>
    </w:p>
    <w:p w14:paraId="6E482A1A" w14:textId="77777777" w:rsidR="00F14B4D" w:rsidRPr="001F50D1" w:rsidRDefault="00F14B4D" w:rsidP="00F14B4D">
      <w:pPr>
        <w:pStyle w:val="MessageHeader"/>
        <w:keepLines w:val="0"/>
        <w:tabs>
          <w:tab w:val="left" w:pos="900"/>
        </w:tabs>
        <w:spacing w:after="0" w:line="240" w:lineRule="auto"/>
        <w:ind w:left="0" w:firstLine="0"/>
        <w:rPr>
          <w:rFonts w:ascii="Times New Roman" w:hAnsi="Times New Roman"/>
          <w:spacing w:val="0"/>
          <w:sz w:val="24"/>
          <w:szCs w:val="24"/>
        </w:rPr>
      </w:pPr>
      <w:r w:rsidRPr="001F50D1">
        <w:rPr>
          <w:rFonts w:ascii="Times New Roman" w:hAnsi="Times New Roman"/>
          <w:spacing w:val="0"/>
          <w:sz w:val="24"/>
          <w:szCs w:val="24"/>
        </w:rPr>
        <w:t xml:space="preserve">       CWCI Medical Care Committee</w:t>
      </w:r>
    </w:p>
    <w:p w14:paraId="61841344" w14:textId="77777777" w:rsidR="00F14B4D" w:rsidRPr="001F50D1" w:rsidRDefault="00F14B4D" w:rsidP="00F14B4D">
      <w:pPr>
        <w:pStyle w:val="MessageHeader"/>
        <w:keepLines w:val="0"/>
        <w:tabs>
          <w:tab w:val="left" w:pos="900"/>
        </w:tabs>
        <w:spacing w:after="0" w:line="240" w:lineRule="auto"/>
        <w:ind w:left="0" w:firstLine="0"/>
        <w:rPr>
          <w:rFonts w:ascii="Times New Roman" w:hAnsi="Times New Roman"/>
          <w:spacing w:val="0"/>
          <w:sz w:val="24"/>
          <w:szCs w:val="24"/>
        </w:rPr>
      </w:pPr>
      <w:r w:rsidRPr="001F50D1">
        <w:rPr>
          <w:rFonts w:ascii="Times New Roman" w:hAnsi="Times New Roman"/>
          <w:spacing w:val="0"/>
          <w:sz w:val="24"/>
          <w:szCs w:val="24"/>
        </w:rPr>
        <w:t xml:space="preserve">       CWCI Legal Committee </w:t>
      </w:r>
    </w:p>
    <w:p w14:paraId="22E4003B" w14:textId="77777777" w:rsidR="00F14B4D" w:rsidRPr="001F50D1" w:rsidRDefault="00F14B4D" w:rsidP="00F14B4D">
      <w:pPr>
        <w:pStyle w:val="MessageHeader"/>
        <w:keepLines w:val="0"/>
        <w:tabs>
          <w:tab w:val="left" w:pos="900"/>
        </w:tabs>
        <w:spacing w:after="0" w:line="240" w:lineRule="auto"/>
        <w:ind w:left="0" w:firstLine="0"/>
        <w:rPr>
          <w:rFonts w:ascii="Times New Roman" w:hAnsi="Times New Roman"/>
          <w:spacing w:val="0"/>
          <w:sz w:val="24"/>
          <w:szCs w:val="24"/>
        </w:rPr>
      </w:pPr>
      <w:r w:rsidRPr="001F50D1">
        <w:rPr>
          <w:rFonts w:ascii="Times New Roman" w:hAnsi="Times New Roman"/>
          <w:spacing w:val="0"/>
          <w:sz w:val="24"/>
          <w:szCs w:val="24"/>
        </w:rPr>
        <w:t xml:space="preserve">       CWCI Regular Members </w:t>
      </w:r>
    </w:p>
    <w:p w14:paraId="0191FD36" w14:textId="6D3F0978" w:rsidR="009D781D" w:rsidRPr="001F50D1" w:rsidRDefault="00F14B4D" w:rsidP="00E4172C">
      <w:pPr>
        <w:pStyle w:val="MessageHeader"/>
        <w:keepLines w:val="0"/>
        <w:tabs>
          <w:tab w:val="left" w:pos="900"/>
        </w:tabs>
        <w:spacing w:after="0" w:line="240" w:lineRule="auto"/>
        <w:ind w:left="0" w:firstLine="0"/>
        <w:rPr>
          <w:rFonts w:ascii="Times New Roman" w:hAnsi="Times New Roman"/>
          <w:b/>
          <w:bCs/>
          <w:sz w:val="24"/>
          <w:szCs w:val="24"/>
          <w:u w:val="single"/>
        </w:rPr>
      </w:pPr>
      <w:r w:rsidRPr="001F50D1">
        <w:rPr>
          <w:rFonts w:ascii="Times New Roman" w:hAnsi="Times New Roman"/>
          <w:spacing w:val="0"/>
          <w:sz w:val="24"/>
          <w:szCs w:val="24"/>
        </w:rPr>
        <w:t xml:space="preserve">       CWCI Associate Members </w:t>
      </w:r>
    </w:p>
    <w:sectPr w:rsidR="009D781D" w:rsidRPr="001F50D1" w:rsidSect="00612AAF">
      <w:footerReference w:type="default" r:id="rId16"/>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268C0" w14:textId="77777777" w:rsidR="005E6847" w:rsidRDefault="005E6847" w:rsidP="007A7CEC">
      <w:pPr>
        <w:spacing w:after="0" w:line="240" w:lineRule="auto"/>
      </w:pPr>
      <w:r>
        <w:separator/>
      </w:r>
    </w:p>
  </w:endnote>
  <w:endnote w:type="continuationSeparator" w:id="0">
    <w:p w14:paraId="4C572F7D" w14:textId="77777777" w:rsidR="005E6847" w:rsidRDefault="005E6847" w:rsidP="007A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8141A" w14:textId="7CC82996" w:rsidR="00B546B9" w:rsidRPr="00B546B9" w:rsidRDefault="00B546B9" w:rsidP="00B546B9">
    <w:pPr>
      <w:autoSpaceDE w:val="0"/>
      <w:autoSpaceDN w:val="0"/>
      <w:spacing w:after="0" w:line="240" w:lineRule="auto"/>
      <w:ind w:left="720" w:hanging="720"/>
      <w:jc w:val="both"/>
      <w:rPr>
        <w:rFonts w:asciiTheme="majorHAnsi" w:eastAsia="Times New Roman" w:hAnsiTheme="majorHAnsi" w:cstheme="majorHAnsi"/>
        <w:b/>
        <w:color w:val="000000"/>
      </w:rPr>
    </w:pPr>
  </w:p>
  <w:p w14:paraId="7B4BCE3A" w14:textId="53D5A214" w:rsidR="00B546B9" w:rsidRPr="00A511E4" w:rsidRDefault="00B546B9" w:rsidP="00582646">
    <w:pPr>
      <w:pStyle w:val="Footer"/>
      <w:pBdr>
        <w:top w:val="thinThickSmallGap" w:sz="24" w:space="1" w:color="823B0B" w:themeColor="accent2" w:themeShade="7F"/>
      </w:pBdr>
      <w:rPr>
        <w:rFonts w:ascii="Times New Roman" w:eastAsiaTheme="majorEastAsia" w:hAnsi="Times New Roman" w:cs="Times New Roman"/>
      </w:rPr>
    </w:pPr>
    <w:r w:rsidRPr="00A511E4">
      <w:rPr>
        <w:rFonts w:ascii="Times New Roman" w:eastAsiaTheme="majorEastAsia" w:hAnsi="Times New Roman" w:cs="Times New Roman"/>
      </w:rPr>
      <w:t xml:space="preserve">CWCI Comments </w:t>
    </w:r>
    <w:r w:rsidR="00E46A3F">
      <w:rPr>
        <w:rFonts w:ascii="Times New Roman" w:eastAsiaTheme="majorEastAsia" w:hAnsi="Times New Roman" w:cs="Times New Roman"/>
      </w:rPr>
      <w:t>–</w:t>
    </w:r>
    <w:r w:rsidRPr="00A511E4">
      <w:rPr>
        <w:rFonts w:ascii="Times New Roman" w:eastAsiaTheme="majorEastAsia" w:hAnsi="Times New Roman" w:cs="Times New Roman"/>
      </w:rPr>
      <w:t xml:space="preserve"> </w:t>
    </w:r>
    <w:r w:rsidR="00E46A3F">
      <w:rPr>
        <w:rFonts w:ascii="Times New Roman" w:eastAsiaTheme="majorEastAsia" w:hAnsi="Times New Roman" w:cs="Times New Roman"/>
      </w:rPr>
      <w:t xml:space="preserve">Proposed Amendments to the </w:t>
    </w:r>
    <w:r w:rsidR="002667B4">
      <w:rPr>
        <w:rFonts w:ascii="Times New Roman" w:eastAsiaTheme="majorEastAsia" w:hAnsi="Times New Roman" w:cs="Times New Roman"/>
      </w:rPr>
      <w:t xml:space="preserve">Utilization </w:t>
    </w:r>
    <w:r w:rsidR="004831DF">
      <w:rPr>
        <w:rFonts w:ascii="Times New Roman" w:eastAsiaTheme="majorEastAsia" w:hAnsi="Times New Roman" w:cs="Times New Roman"/>
      </w:rPr>
      <w:t xml:space="preserve">Review </w:t>
    </w:r>
    <w:r w:rsidR="002667B4">
      <w:rPr>
        <w:rFonts w:ascii="Times New Roman" w:eastAsiaTheme="majorEastAsia" w:hAnsi="Times New Roman" w:cs="Times New Roman"/>
      </w:rPr>
      <w:t>Regulations</w:t>
    </w:r>
    <w:r w:rsidR="00D074C3">
      <w:rPr>
        <w:rFonts w:ascii="Times New Roman" w:eastAsiaTheme="majorEastAsia" w:hAnsi="Times New Roman" w:cs="Times New Roman"/>
      </w:rPr>
      <w:t xml:space="preserve"> – </w:t>
    </w:r>
    <w:r w:rsidR="00515B92">
      <w:rPr>
        <w:rFonts w:ascii="Times New Roman" w:eastAsiaTheme="majorEastAsia" w:hAnsi="Times New Roman" w:cs="Times New Roman"/>
      </w:rPr>
      <w:t>45</w:t>
    </w:r>
    <w:r w:rsidR="00DC13FE">
      <w:rPr>
        <w:rFonts w:ascii="Times New Roman" w:eastAsiaTheme="majorEastAsia" w:hAnsi="Times New Roman" w:cs="Times New Roman"/>
      </w:rPr>
      <w:t>-</w:t>
    </w:r>
    <w:r w:rsidR="004B184A">
      <w:rPr>
        <w:rFonts w:ascii="Times New Roman" w:eastAsiaTheme="majorEastAsia" w:hAnsi="Times New Roman" w:cs="Times New Roman"/>
      </w:rPr>
      <w:t xml:space="preserve">Day </w:t>
    </w:r>
    <w:r w:rsidR="008640A4">
      <w:rPr>
        <w:rFonts w:ascii="Times New Roman" w:eastAsiaTheme="majorEastAsia" w:hAnsi="Times New Roman" w:cs="Times New Roman"/>
      </w:rPr>
      <w:t>Comment Period</w:t>
    </w:r>
    <w:r w:rsidR="00582646">
      <w:rPr>
        <w:rFonts w:ascii="Times New Roman" w:eastAsia="Times New Roman" w:hAnsi="Times New Roman" w:cs="Times New Roman"/>
        <w:color w:val="000000"/>
        <w:sz w:val="24"/>
        <w:szCs w:val="24"/>
      </w:rPr>
      <w:t xml:space="preserve"> </w:t>
    </w:r>
    <w:r w:rsidRPr="00A511E4">
      <w:rPr>
        <w:rFonts w:ascii="Times New Roman" w:eastAsiaTheme="majorEastAsia" w:hAnsi="Times New Roman" w:cs="Times New Roman"/>
      </w:rPr>
      <w:ptab w:relativeTo="margin" w:alignment="right" w:leader="none"/>
    </w:r>
    <w:r w:rsidRPr="00A511E4">
      <w:rPr>
        <w:rFonts w:ascii="Times New Roman" w:eastAsiaTheme="majorEastAsia" w:hAnsi="Times New Roman" w:cs="Times New Roman"/>
      </w:rPr>
      <w:t xml:space="preserve">Page </w:t>
    </w:r>
    <w:r w:rsidRPr="00A511E4">
      <w:rPr>
        <w:rFonts w:ascii="Times New Roman" w:eastAsiaTheme="minorEastAsia" w:hAnsi="Times New Roman" w:cs="Times New Roman"/>
      </w:rPr>
      <w:fldChar w:fldCharType="begin"/>
    </w:r>
    <w:r w:rsidRPr="00A511E4">
      <w:rPr>
        <w:rFonts w:ascii="Times New Roman" w:hAnsi="Times New Roman" w:cs="Times New Roman"/>
      </w:rPr>
      <w:instrText xml:space="preserve"> PAGE   \* MERGEFORMAT </w:instrText>
    </w:r>
    <w:r w:rsidRPr="00A511E4">
      <w:rPr>
        <w:rFonts w:ascii="Times New Roman" w:eastAsiaTheme="minorEastAsia" w:hAnsi="Times New Roman" w:cs="Times New Roman"/>
      </w:rPr>
      <w:fldChar w:fldCharType="separate"/>
    </w:r>
    <w:r w:rsidRPr="00A511E4">
      <w:rPr>
        <w:rFonts w:ascii="Times New Roman" w:eastAsiaTheme="minorEastAsia" w:hAnsi="Times New Roman" w:cs="Times New Roman"/>
      </w:rPr>
      <w:t>1</w:t>
    </w:r>
    <w:r w:rsidRPr="00A511E4">
      <w:rPr>
        <w:rFonts w:ascii="Times New Roman" w:eastAsiaTheme="majorEastAsia" w:hAnsi="Times New Roman" w:cs="Times New Roman"/>
        <w:noProof/>
      </w:rPr>
      <w:fldChar w:fldCharType="end"/>
    </w:r>
  </w:p>
  <w:p w14:paraId="41564C57" w14:textId="7B0CBF06" w:rsidR="00B546B9" w:rsidRDefault="00B546B9">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A1AC7" w14:textId="77777777" w:rsidR="005E6847" w:rsidRDefault="005E6847" w:rsidP="007A7CEC">
      <w:pPr>
        <w:spacing w:after="0" w:line="240" w:lineRule="auto"/>
      </w:pPr>
      <w:r>
        <w:separator/>
      </w:r>
    </w:p>
  </w:footnote>
  <w:footnote w:type="continuationSeparator" w:id="0">
    <w:p w14:paraId="11A6CBE3" w14:textId="77777777" w:rsidR="005E6847" w:rsidRDefault="005E6847" w:rsidP="007A7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16B8"/>
    <w:multiLevelType w:val="hybridMultilevel"/>
    <w:tmpl w:val="27265DB4"/>
    <w:lvl w:ilvl="0" w:tplc="6CCADE7E">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107E1"/>
    <w:multiLevelType w:val="hybridMultilevel"/>
    <w:tmpl w:val="C304FDDA"/>
    <w:lvl w:ilvl="0" w:tplc="5F7814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2724B8"/>
    <w:multiLevelType w:val="hybridMultilevel"/>
    <w:tmpl w:val="BFE076EC"/>
    <w:lvl w:ilvl="0" w:tplc="04090001">
      <w:start w:val="1"/>
      <w:numFmt w:val="bullet"/>
      <w:lvlText w:val=""/>
      <w:lvlJc w:val="left"/>
      <w:pPr>
        <w:ind w:left="180" w:hanging="360"/>
      </w:pPr>
      <w:rPr>
        <w:rFonts w:ascii="Symbol" w:hAnsi="Symbol" w:hint="default"/>
        <w:sz w:val="24"/>
        <w:szCs w:val="24"/>
      </w:rPr>
    </w:lvl>
    <w:lvl w:ilvl="1" w:tplc="50AA077A">
      <w:start w:val="1"/>
      <w:numFmt w:val="lowerLetter"/>
      <w:lvlText w:val="%2."/>
      <w:lvlJc w:val="left"/>
      <w:pPr>
        <w:ind w:left="720" w:hanging="360"/>
      </w:pPr>
      <w:rPr>
        <w:rFonts w:ascii="Times New Roman" w:hAnsi="Times New Roman" w:hint="default"/>
        <w:sz w:val="24"/>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D666DC"/>
    <w:multiLevelType w:val="hybridMultilevel"/>
    <w:tmpl w:val="721E67C4"/>
    <w:lvl w:ilvl="0" w:tplc="9CB2FA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621F02"/>
    <w:multiLevelType w:val="hybridMultilevel"/>
    <w:tmpl w:val="A9CC9438"/>
    <w:lvl w:ilvl="0" w:tplc="04090001">
      <w:start w:val="1"/>
      <w:numFmt w:val="bullet"/>
      <w:lvlText w:val=""/>
      <w:lvlJc w:val="left"/>
      <w:pPr>
        <w:ind w:left="900" w:hanging="360"/>
      </w:pPr>
      <w:rPr>
        <w:rFonts w:ascii="Symbol" w:hAnsi="Symbol" w:hint="default"/>
        <w:sz w:val="24"/>
        <w:szCs w:val="24"/>
      </w:rPr>
    </w:lvl>
    <w:lvl w:ilvl="1" w:tplc="50AA077A">
      <w:start w:val="1"/>
      <w:numFmt w:val="lowerLetter"/>
      <w:lvlText w:val="%2."/>
      <w:lvlJc w:val="left"/>
      <w:pPr>
        <w:ind w:left="1440" w:hanging="36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45483"/>
    <w:multiLevelType w:val="hybridMultilevel"/>
    <w:tmpl w:val="ED9AC73C"/>
    <w:lvl w:ilvl="0" w:tplc="82301314">
      <w:start w:val="1"/>
      <w:numFmt w:val="decimal"/>
      <w:lvlText w:val="%1)"/>
      <w:lvlJc w:val="left"/>
      <w:pPr>
        <w:ind w:left="900" w:hanging="360"/>
      </w:pPr>
      <w:rPr>
        <w:rFonts w:ascii="Times New Roman" w:hAnsi="Times New Roman" w:cs="Times New Roman" w:hint="default"/>
        <w:sz w:val="24"/>
        <w:szCs w:val="24"/>
      </w:rPr>
    </w:lvl>
    <w:lvl w:ilvl="1" w:tplc="04090003">
      <w:start w:val="1"/>
      <w:numFmt w:val="bullet"/>
      <w:lvlText w:val="o"/>
      <w:lvlJc w:val="left"/>
      <w:pPr>
        <w:ind w:left="1440" w:hanging="360"/>
      </w:pPr>
      <w:rPr>
        <w:rFonts w:ascii="Courier New" w:hAnsi="Courier New" w:cs="Courier New"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A2AE2"/>
    <w:multiLevelType w:val="hybridMultilevel"/>
    <w:tmpl w:val="0E6E0584"/>
    <w:lvl w:ilvl="0" w:tplc="82301314">
      <w:start w:val="1"/>
      <w:numFmt w:val="decimal"/>
      <w:lvlText w:val="%1)"/>
      <w:lvlJc w:val="left"/>
      <w:pPr>
        <w:ind w:left="900" w:hanging="360"/>
      </w:pPr>
      <w:rPr>
        <w:rFonts w:ascii="Times New Roman" w:hAnsi="Times New Roman" w:cs="Times New Roman" w:hint="default"/>
        <w:sz w:val="24"/>
        <w:szCs w:val="24"/>
      </w:rPr>
    </w:lvl>
    <w:lvl w:ilvl="1" w:tplc="50AA077A">
      <w:start w:val="1"/>
      <w:numFmt w:val="lowerLetter"/>
      <w:lvlText w:val="%2."/>
      <w:lvlJc w:val="left"/>
      <w:pPr>
        <w:ind w:left="1440" w:hanging="36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E676C"/>
    <w:multiLevelType w:val="hybridMultilevel"/>
    <w:tmpl w:val="819A51BE"/>
    <w:lvl w:ilvl="0" w:tplc="0A0E2F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84808"/>
    <w:multiLevelType w:val="hybridMultilevel"/>
    <w:tmpl w:val="41A4B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BF1184"/>
    <w:multiLevelType w:val="hybridMultilevel"/>
    <w:tmpl w:val="6F82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E0938"/>
    <w:multiLevelType w:val="hybridMultilevel"/>
    <w:tmpl w:val="D376D6C4"/>
    <w:lvl w:ilvl="0" w:tplc="44C6DE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34D81"/>
    <w:multiLevelType w:val="hybridMultilevel"/>
    <w:tmpl w:val="00E81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03A01"/>
    <w:multiLevelType w:val="hybridMultilevel"/>
    <w:tmpl w:val="CC8CC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3E47BF"/>
    <w:multiLevelType w:val="hybridMultilevel"/>
    <w:tmpl w:val="F398BFD8"/>
    <w:lvl w:ilvl="0" w:tplc="D96E0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D16BAB"/>
    <w:multiLevelType w:val="hybridMultilevel"/>
    <w:tmpl w:val="769C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14F6F"/>
    <w:multiLevelType w:val="hybridMultilevel"/>
    <w:tmpl w:val="D45EAD62"/>
    <w:lvl w:ilvl="0" w:tplc="07246AB2">
      <w:start w:val="1"/>
      <w:numFmt w:val="lowerLetter"/>
      <w:lvlText w:val="(%1)"/>
      <w:lvlJc w:val="left"/>
      <w:pPr>
        <w:ind w:left="720" w:hanging="360"/>
      </w:pPr>
      <w:rPr>
        <w:rFonts w:hint="default"/>
        <w:strike/>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737381"/>
    <w:multiLevelType w:val="hybridMultilevel"/>
    <w:tmpl w:val="B7329512"/>
    <w:lvl w:ilvl="0" w:tplc="04090001">
      <w:start w:val="1"/>
      <w:numFmt w:val="bullet"/>
      <w:lvlText w:val=""/>
      <w:lvlJc w:val="left"/>
      <w:pPr>
        <w:ind w:left="900" w:hanging="360"/>
      </w:pPr>
      <w:rPr>
        <w:rFonts w:ascii="Symbol" w:hAnsi="Symbol" w:hint="default"/>
        <w:sz w:val="24"/>
        <w:szCs w:val="24"/>
      </w:rPr>
    </w:lvl>
    <w:lvl w:ilvl="1" w:tplc="50AA077A">
      <w:start w:val="1"/>
      <w:numFmt w:val="lowerLetter"/>
      <w:lvlText w:val="%2."/>
      <w:lvlJc w:val="left"/>
      <w:pPr>
        <w:ind w:left="1440" w:hanging="36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57527F"/>
    <w:multiLevelType w:val="hybridMultilevel"/>
    <w:tmpl w:val="E4E494FE"/>
    <w:lvl w:ilvl="0" w:tplc="6E3A3F40">
      <w:start w:val="1"/>
      <w:numFmt w:val="lowerLetter"/>
      <w:lvlText w:val="(%1)"/>
      <w:lvlJc w:val="left"/>
      <w:pPr>
        <w:ind w:left="630" w:hanging="360"/>
      </w:pPr>
      <w:rPr>
        <w:rFonts w:hint="default"/>
        <w:strike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70303F74"/>
    <w:multiLevelType w:val="hybridMultilevel"/>
    <w:tmpl w:val="FE4AED9C"/>
    <w:lvl w:ilvl="0" w:tplc="82301314">
      <w:start w:val="1"/>
      <w:numFmt w:val="decimal"/>
      <w:lvlText w:val="%1)"/>
      <w:lvlJc w:val="left"/>
      <w:pPr>
        <w:ind w:left="900" w:hanging="360"/>
      </w:pPr>
      <w:rPr>
        <w:rFonts w:ascii="Times New Roman" w:hAnsi="Times New Roman" w:cs="Times New Roman" w:hint="default"/>
        <w:sz w:val="24"/>
        <w:szCs w:val="24"/>
      </w:rPr>
    </w:lvl>
    <w:lvl w:ilvl="1" w:tplc="2136888C">
      <w:start w:val="1"/>
      <w:numFmt w:val="lowerLetter"/>
      <w:lvlText w:val="%2."/>
      <w:lvlJc w:val="left"/>
      <w:pPr>
        <w:ind w:left="1440" w:hanging="360"/>
      </w:pPr>
      <w:rPr>
        <w:rFonts w:ascii="Times New Roman" w:hAnsi="Times New Roman"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3067C2"/>
    <w:multiLevelType w:val="hybridMultilevel"/>
    <w:tmpl w:val="D4020A98"/>
    <w:lvl w:ilvl="0" w:tplc="B3EC08AA">
      <w:start w:val="4"/>
      <w:numFmt w:val="decimal"/>
      <w:lvlText w:val="(%1)"/>
      <w:lvlJc w:val="left"/>
      <w:pPr>
        <w:ind w:left="1260" w:hanging="360"/>
      </w:pPr>
      <w:rPr>
        <w:rFonts w:hint="default"/>
        <w:strike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57847EB"/>
    <w:multiLevelType w:val="hybridMultilevel"/>
    <w:tmpl w:val="2A08C7E2"/>
    <w:lvl w:ilvl="0" w:tplc="023C32F4">
      <w:start w:val="1"/>
      <w:numFmt w:val="lowerLetter"/>
      <w:lvlText w:val="(%1)"/>
      <w:lvlJc w:val="left"/>
      <w:pPr>
        <w:ind w:left="765" w:hanging="405"/>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B37AD1"/>
    <w:multiLevelType w:val="hybridMultilevel"/>
    <w:tmpl w:val="E8D6145E"/>
    <w:lvl w:ilvl="0" w:tplc="D4C0864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7A28EC"/>
    <w:multiLevelType w:val="hybridMultilevel"/>
    <w:tmpl w:val="CE32C828"/>
    <w:lvl w:ilvl="0" w:tplc="63F2B2E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115B59"/>
    <w:multiLevelType w:val="hybridMultilevel"/>
    <w:tmpl w:val="E4E494FE"/>
    <w:lvl w:ilvl="0" w:tplc="6E3A3F40">
      <w:start w:val="1"/>
      <w:numFmt w:val="lowerLetter"/>
      <w:lvlText w:val="(%1)"/>
      <w:lvlJc w:val="left"/>
      <w:pPr>
        <w:ind w:left="630" w:hanging="360"/>
      </w:pPr>
      <w:rPr>
        <w:rFonts w:hint="default"/>
        <w:strike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F064DF5"/>
    <w:multiLevelType w:val="hybridMultilevel"/>
    <w:tmpl w:val="E1144FEA"/>
    <w:lvl w:ilvl="0" w:tplc="6CFC5BC4">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907905">
    <w:abstractNumId w:val="21"/>
  </w:num>
  <w:num w:numId="2" w16cid:durableId="930240210">
    <w:abstractNumId w:val="10"/>
  </w:num>
  <w:num w:numId="3" w16cid:durableId="189882672">
    <w:abstractNumId w:val="24"/>
  </w:num>
  <w:num w:numId="4" w16cid:durableId="134567887">
    <w:abstractNumId w:val="6"/>
  </w:num>
  <w:num w:numId="5" w16cid:durableId="1560092910">
    <w:abstractNumId w:val="18"/>
  </w:num>
  <w:num w:numId="6" w16cid:durableId="370231656">
    <w:abstractNumId w:val="14"/>
  </w:num>
  <w:num w:numId="7" w16cid:durableId="389231332">
    <w:abstractNumId w:val="11"/>
  </w:num>
  <w:num w:numId="8" w16cid:durableId="1859197623">
    <w:abstractNumId w:val="4"/>
  </w:num>
  <w:num w:numId="9" w16cid:durableId="1976175153">
    <w:abstractNumId w:val="16"/>
  </w:num>
  <w:num w:numId="10" w16cid:durableId="597907730">
    <w:abstractNumId w:val="5"/>
  </w:num>
  <w:num w:numId="11" w16cid:durableId="9990321">
    <w:abstractNumId w:val="2"/>
  </w:num>
  <w:num w:numId="12" w16cid:durableId="1290864123">
    <w:abstractNumId w:val="19"/>
  </w:num>
  <w:num w:numId="13" w16cid:durableId="880940593">
    <w:abstractNumId w:val="23"/>
  </w:num>
  <w:num w:numId="14" w16cid:durableId="669649227">
    <w:abstractNumId w:val="9"/>
  </w:num>
  <w:num w:numId="15" w16cid:durableId="34165536">
    <w:abstractNumId w:val="12"/>
  </w:num>
  <w:num w:numId="16" w16cid:durableId="2117557797">
    <w:abstractNumId w:val="15"/>
  </w:num>
  <w:num w:numId="17" w16cid:durableId="764039971">
    <w:abstractNumId w:val="0"/>
  </w:num>
  <w:num w:numId="18" w16cid:durableId="1899710021">
    <w:abstractNumId w:val="17"/>
  </w:num>
  <w:num w:numId="19" w16cid:durableId="617643627">
    <w:abstractNumId w:val="1"/>
  </w:num>
  <w:num w:numId="20" w16cid:durableId="591858857">
    <w:abstractNumId w:val="3"/>
  </w:num>
  <w:num w:numId="21" w16cid:durableId="1279340786">
    <w:abstractNumId w:val="13"/>
  </w:num>
  <w:num w:numId="22" w16cid:durableId="1152527006">
    <w:abstractNumId w:val="8"/>
  </w:num>
  <w:num w:numId="23" w16cid:durableId="1749958066">
    <w:abstractNumId w:val="7"/>
  </w:num>
  <w:num w:numId="24" w16cid:durableId="691804057">
    <w:abstractNumId w:val="20"/>
  </w:num>
  <w:num w:numId="25" w16cid:durableId="2157771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7C2EAC1-36AD-4B32-B213-5B7F8AFC1C7E}"/>
    <w:docVar w:name="dgnword-eventsink" w:val="1933238021344"/>
  </w:docVars>
  <w:rsids>
    <w:rsidRoot w:val="008B7493"/>
    <w:rsid w:val="00001A05"/>
    <w:rsid w:val="00013A78"/>
    <w:rsid w:val="00013BBC"/>
    <w:rsid w:val="00015868"/>
    <w:rsid w:val="00017C13"/>
    <w:rsid w:val="00026A9A"/>
    <w:rsid w:val="000341EC"/>
    <w:rsid w:val="0003624C"/>
    <w:rsid w:val="00036975"/>
    <w:rsid w:val="000406C3"/>
    <w:rsid w:val="0004220E"/>
    <w:rsid w:val="000438B6"/>
    <w:rsid w:val="00057685"/>
    <w:rsid w:val="00060BE8"/>
    <w:rsid w:val="00062234"/>
    <w:rsid w:val="0006282B"/>
    <w:rsid w:val="00064EA4"/>
    <w:rsid w:val="00067072"/>
    <w:rsid w:val="00070370"/>
    <w:rsid w:val="000752CB"/>
    <w:rsid w:val="00081988"/>
    <w:rsid w:val="000842FE"/>
    <w:rsid w:val="0008478D"/>
    <w:rsid w:val="000877B8"/>
    <w:rsid w:val="00093DB1"/>
    <w:rsid w:val="000952E5"/>
    <w:rsid w:val="000979EA"/>
    <w:rsid w:val="000A2DFE"/>
    <w:rsid w:val="000A330C"/>
    <w:rsid w:val="000A536C"/>
    <w:rsid w:val="000A5DD2"/>
    <w:rsid w:val="000B141D"/>
    <w:rsid w:val="000B5C10"/>
    <w:rsid w:val="000B64F4"/>
    <w:rsid w:val="000C4D60"/>
    <w:rsid w:val="000E0607"/>
    <w:rsid w:val="000E17FB"/>
    <w:rsid w:val="000E2CA0"/>
    <w:rsid w:val="000E5094"/>
    <w:rsid w:val="000E5B08"/>
    <w:rsid w:val="000F23E2"/>
    <w:rsid w:val="000F26A4"/>
    <w:rsid w:val="001060D2"/>
    <w:rsid w:val="00110534"/>
    <w:rsid w:val="001110B7"/>
    <w:rsid w:val="001131E2"/>
    <w:rsid w:val="0011530E"/>
    <w:rsid w:val="00120CEB"/>
    <w:rsid w:val="0012395E"/>
    <w:rsid w:val="0012502B"/>
    <w:rsid w:val="00125ADF"/>
    <w:rsid w:val="00135140"/>
    <w:rsid w:val="001513C8"/>
    <w:rsid w:val="00151EF4"/>
    <w:rsid w:val="001536C4"/>
    <w:rsid w:val="00157838"/>
    <w:rsid w:val="001705AB"/>
    <w:rsid w:val="00171AA9"/>
    <w:rsid w:val="001752B9"/>
    <w:rsid w:val="00176375"/>
    <w:rsid w:val="00181376"/>
    <w:rsid w:val="00184877"/>
    <w:rsid w:val="00184896"/>
    <w:rsid w:val="0018750F"/>
    <w:rsid w:val="00194405"/>
    <w:rsid w:val="00194559"/>
    <w:rsid w:val="001A025B"/>
    <w:rsid w:val="001A10DE"/>
    <w:rsid w:val="001A1A44"/>
    <w:rsid w:val="001A4094"/>
    <w:rsid w:val="001A745A"/>
    <w:rsid w:val="001A7E35"/>
    <w:rsid w:val="001B1BCD"/>
    <w:rsid w:val="001B2F85"/>
    <w:rsid w:val="001B63A5"/>
    <w:rsid w:val="001D08B0"/>
    <w:rsid w:val="001E73AF"/>
    <w:rsid w:val="001F0E97"/>
    <w:rsid w:val="001F4944"/>
    <w:rsid w:val="001F50D1"/>
    <w:rsid w:val="001F5627"/>
    <w:rsid w:val="001F62E8"/>
    <w:rsid w:val="001F6A27"/>
    <w:rsid w:val="001F75A8"/>
    <w:rsid w:val="0020123A"/>
    <w:rsid w:val="0021034F"/>
    <w:rsid w:val="00216259"/>
    <w:rsid w:val="00216855"/>
    <w:rsid w:val="0021689D"/>
    <w:rsid w:val="002237C8"/>
    <w:rsid w:val="002265F8"/>
    <w:rsid w:val="00231238"/>
    <w:rsid w:val="002328F5"/>
    <w:rsid w:val="00232E16"/>
    <w:rsid w:val="00232F68"/>
    <w:rsid w:val="00237CF6"/>
    <w:rsid w:val="0024095D"/>
    <w:rsid w:val="00243D62"/>
    <w:rsid w:val="00251B6C"/>
    <w:rsid w:val="00257AED"/>
    <w:rsid w:val="002612C4"/>
    <w:rsid w:val="002667B4"/>
    <w:rsid w:val="00276A0F"/>
    <w:rsid w:val="00286651"/>
    <w:rsid w:val="0029340D"/>
    <w:rsid w:val="002A124D"/>
    <w:rsid w:val="002A1F45"/>
    <w:rsid w:val="002A2C9A"/>
    <w:rsid w:val="002A4E06"/>
    <w:rsid w:val="002B25F0"/>
    <w:rsid w:val="002B655C"/>
    <w:rsid w:val="002C28E5"/>
    <w:rsid w:val="002C3DF3"/>
    <w:rsid w:val="002C6DAF"/>
    <w:rsid w:val="002C7358"/>
    <w:rsid w:val="002D08D7"/>
    <w:rsid w:val="002D641E"/>
    <w:rsid w:val="002D7B0B"/>
    <w:rsid w:val="002D7C95"/>
    <w:rsid w:val="002D7F1A"/>
    <w:rsid w:val="002E15B1"/>
    <w:rsid w:val="002E325A"/>
    <w:rsid w:val="002E3A2C"/>
    <w:rsid w:val="002E5C64"/>
    <w:rsid w:val="002E70B5"/>
    <w:rsid w:val="002F2DB5"/>
    <w:rsid w:val="002F57B3"/>
    <w:rsid w:val="002F5F91"/>
    <w:rsid w:val="002F645F"/>
    <w:rsid w:val="00301C38"/>
    <w:rsid w:val="0030267F"/>
    <w:rsid w:val="00304FB9"/>
    <w:rsid w:val="003052C6"/>
    <w:rsid w:val="00307258"/>
    <w:rsid w:val="0031243C"/>
    <w:rsid w:val="00314ADC"/>
    <w:rsid w:val="00315221"/>
    <w:rsid w:val="0032094F"/>
    <w:rsid w:val="00321E9B"/>
    <w:rsid w:val="00331C44"/>
    <w:rsid w:val="00332B11"/>
    <w:rsid w:val="00333B4A"/>
    <w:rsid w:val="00336B2F"/>
    <w:rsid w:val="0033756F"/>
    <w:rsid w:val="0033763A"/>
    <w:rsid w:val="003378C1"/>
    <w:rsid w:val="003429DC"/>
    <w:rsid w:val="00344A41"/>
    <w:rsid w:val="00347856"/>
    <w:rsid w:val="003626D8"/>
    <w:rsid w:val="00365279"/>
    <w:rsid w:val="00374DE9"/>
    <w:rsid w:val="0038452B"/>
    <w:rsid w:val="00384FF5"/>
    <w:rsid w:val="00391037"/>
    <w:rsid w:val="00391869"/>
    <w:rsid w:val="003B1144"/>
    <w:rsid w:val="003C105D"/>
    <w:rsid w:val="003C231E"/>
    <w:rsid w:val="003C3C77"/>
    <w:rsid w:val="003C7483"/>
    <w:rsid w:val="003D26AB"/>
    <w:rsid w:val="003D3A87"/>
    <w:rsid w:val="003D3ED1"/>
    <w:rsid w:val="003D3F8E"/>
    <w:rsid w:val="003D54E7"/>
    <w:rsid w:val="003D7BE6"/>
    <w:rsid w:val="003E401A"/>
    <w:rsid w:val="003E5D53"/>
    <w:rsid w:val="003F5E2D"/>
    <w:rsid w:val="00400797"/>
    <w:rsid w:val="00401006"/>
    <w:rsid w:val="004019AA"/>
    <w:rsid w:val="004032D1"/>
    <w:rsid w:val="00410B47"/>
    <w:rsid w:val="00411550"/>
    <w:rsid w:val="00432374"/>
    <w:rsid w:val="00432BBB"/>
    <w:rsid w:val="00443FCC"/>
    <w:rsid w:val="00451BDC"/>
    <w:rsid w:val="00454553"/>
    <w:rsid w:val="00457D05"/>
    <w:rsid w:val="00460AAD"/>
    <w:rsid w:val="004619DE"/>
    <w:rsid w:val="00462A21"/>
    <w:rsid w:val="00470134"/>
    <w:rsid w:val="00470F36"/>
    <w:rsid w:val="00473921"/>
    <w:rsid w:val="0047595F"/>
    <w:rsid w:val="0047670F"/>
    <w:rsid w:val="00480F9F"/>
    <w:rsid w:val="00481B47"/>
    <w:rsid w:val="004831DF"/>
    <w:rsid w:val="004867E3"/>
    <w:rsid w:val="00490598"/>
    <w:rsid w:val="00490764"/>
    <w:rsid w:val="004962F1"/>
    <w:rsid w:val="00497D5C"/>
    <w:rsid w:val="00497F87"/>
    <w:rsid w:val="004A2217"/>
    <w:rsid w:val="004B184A"/>
    <w:rsid w:val="004B6BF0"/>
    <w:rsid w:val="004C758F"/>
    <w:rsid w:val="004D63C4"/>
    <w:rsid w:val="004D66D0"/>
    <w:rsid w:val="004E112A"/>
    <w:rsid w:val="004E6DD5"/>
    <w:rsid w:val="004F0AEC"/>
    <w:rsid w:val="004F0B53"/>
    <w:rsid w:val="004F29F3"/>
    <w:rsid w:val="004F39DC"/>
    <w:rsid w:val="004F3DC8"/>
    <w:rsid w:val="004F6350"/>
    <w:rsid w:val="00500F85"/>
    <w:rsid w:val="00501D7B"/>
    <w:rsid w:val="00504DF9"/>
    <w:rsid w:val="005062BF"/>
    <w:rsid w:val="005077C9"/>
    <w:rsid w:val="00513EEA"/>
    <w:rsid w:val="00515B92"/>
    <w:rsid w:val="00516E17"/>
    <w:rsid w:val="005201B8"/>
    <w:rsid w:val="00520CF2"/>
    <w:rsid w:val="00522B67"/>
    <w:rsid w:val="00522D44"/>
    <w:rsid w:val="00527F19"/>
    <w:rsid w:val="00530A74"/>
    <w:rsid w:val="0053328C"/>
    <w:rsid w:val="00540502"/>
    <w:rsid w:val="005415C1"/>
    <w:rsid w:val="00542574"/>
    <w:rsid w:val="0054683D"/>
    <w:rsid w:val="00551CF1"/>
    <w:rsid w:val="00562420"/>
    <w:rsid w:val="005628B9"/>
    <w:rsid w:val="00563C6F"/>
    <w:rsid w:val="00571727"/>
    <w:rsid w:val="00577855"/>
    <w:rsid w:val="00582646"/>
    <w:rsid w:val="00583D9B"/>
    <w:rsid w:val="00585D81"/>
    <w:rsid w:val="00587FE1"/>
    <w:rsid w:val="00595A62"/>
    <w:rsid w:val="00596FC9"/>
    <w:rsid w:val="005A08C2"/>
    <w:rsid w:val="005A0CD8"/>
    <w:rsid w:val="005A0D65"/>
    <w:rsid w:val="005A415E"/>
    <w:rsid w:val="005A4C36"/>
    <w:rsid w:val="005A4FF2"/>
    <w:rsid w:val="005B4DA7"/>
    <w:rsid w:val="005B4E23"/>
    <w:rsid w:val="005B6A4D"/>
    <w:rsid w:val="005C37F5"/>
    <w:rsid w:val="005C487C"/>
    <w:rsid w:val="005D5D75"/>
    <w:rsid w:val="005D7FC2"/>
    <w:rsid w:val="005E3018"/>
    <w:rsid w:val="005E6847"/>
    <w:rsid w:val="005E6A9C"/>
    <w:rsid w:val="005F16F7"/>
    <w:rsid w:val="005F62CE"/>
    <w:rsid w:val="005F6AB0"/>
    <w:rsid w:val="005F7788"/>
    <w:rsid w:val="006036DD"/>
    <w:rsid w:val="00607B4B"/>
    <w:rsid w:val="00612AAF"/>
    <w:rsid w:val="00615B10"/>
    <w:rsid w:val="00634221"/>
    <w:rsid w:val="00640F49"/>
    <w:rsid w:val="00642E9E"/>
    <w:rsid w:val="00652F0B"/>
    <w:rsid w:val="00653F3A"/>
    <w:rsid w:val="006543E3"/>
    <w:rsid w:val="0065494D"/>
    <w:rsid w:val="00655391"/>
    <w:rsid w:val="00660B13"/>
    <w:rsid w:val="00662833"/>
    <w:rsid w:val="00662A76"/>
    <w:rsid w:val="00664268"/>
    <w:rsid w:val="006662A8"/>
    <w:rsid w:val="00671D8C"/>
    <w:rsid w:val="0067287A"/>
    <w:rsid w:val="00673C5E"/>
    <w:rsid w:val="0067677C"/>
    <w:rsid w:val="00676AD4"/>
    <w:rsid w:val="0067734F"/>
    <w:rsid w:val="00677CAD"/>
    <w:rsid w:val="00680A48"/>
    <w:rsid w:val="00681BD9"/>
    <w:rsid w:val="00682998"/>
    <w:rsid w:val="00685605"/>
    <w:rsid w:val="00686E66"/>
    <w:rsid w:val="006943F3"/>
    <w:rsid w:val="00696721"/>
    <w:rsid w:val="00697438"/>
    <w:rsid w:val="006A3D4D"/>
    <w:rsid w:val="006B0AEF"/>
    <w:rsid w:val="006B10D6"/>
    <w:rsid w:val="006B48D8"/>
    <w:rsid w:val="006B5681"/>
    <w:rsid w:val="006C222A"/>
    <w:rsid w:val="006C7F82"/>
    <w:rsid w:val="006D3C04"/>
    <w:rsid w:val="006E1910"/>
    <w:rsid w:val="006E2CC3"/>
    <w:rsid w:val="006E4D2A"/>
    <w:rsid w:val="006F1C6D"/>
    <w:rsid w:val="006F2E6A"/>
    <w:rsid w:val="006F7C04"/>
    <w:rsid w:val="0070094F"/>
    <w:rsid w:val="00700D5A"/>
    <w:rsid w:val="00702B0F"/>
    <w:rsid w:val="0070388A"/>
    <w:rsid w:val="00704754"/>
    <w:rsid w:val="007064A2"/>
    <w:rsid w:val="007068AB"/>
    <w:rsid w:val="00706A13"/>
    <w:rsid w:val="00706AAA"/>
    <w:rsid w:val="00712CFC"/>
    <w:rsid w:val="00714787"/>
    <w:rsid w:val="0072283D"/>
    <w:rsid w:val="00723385"/>
    <w:rsid w:val="00726BA9"/>
    <w:rsid w:val="0073441B"/>
    <w:rsid w:val="007415CD"/>
    <w:rsid w:val="007426FB"/>
    <w:rsid w:val="00743A54"/>
    <w:rsid w:val="007457DC"/>
    <w:rsid w:val="00745A46"/>
    <w:rsid w:val="00761622"/>
    <w:rsid w:val="0076187B"/>
    <w:rsid w:val="00763088"/>
    <w:rsid w:val="00765194"/>
    <w:rsid w:val="00767A96"/>
    <w:rsid w:val="007700DC"/>
    <w:rsid w:val="007737F9"/>
    <w:rsid w:val="00783603"/>
    <w:rsid w:val="0078377B"/>
    <w:rsid w:val="007860B3"/>
    <w:rsid w:val="007925E5"/>
    <w:rsid w:val="0079358C"/>
    <w:rsid w:val="00794F47"/>
    <w:rsid w:val="007978A2"/>
    <w:rsid w:val="007A2422"/>
    <w:rsid w:val="007A6D3B"/>
    <w:rsid w:val="007A7CEC"/>
    <w:rsid w:val="007C0DCE"/>
    <w:rsid w:val="007D228C"/>
    <w:rsid w:val="007D6D2A"/>
    <w:rsid w:val="007E1AE8"/>
    <w:rsid w:val="007E45B2"/>
    <w:rsid w:val="007F14F3"/>
    <w:rsid w:val="007F66CA"/>
    <w:rsid w:val="00800024"/>
    <w:rsid w:val="00800261"/>
    <w:rsid w:val="00815B16"/>
    <w:rsid w:val="008209CC"/>
    <w:rsid w:val="00822327"/>
    <w:rsid w:val="00823ED2"/>
    <w:rsid w:val="0082752F"/>
    <w:rsid w:val="00830D93"/>
    <w:rsid w:val="008311EB"/>
    <w:rsid w:val="00834119"/>
    <w:rsid w:val="00842910"/>
    <w:rsid w:val="00844B77"/>
    <w:rsid w:val="00845DC8"/>
    <w:rsid w:val="00850E79"/>
    <w:rsid w:val="00853FB2"/>
    <w:rsid w:val="00855D6D"/>
    <w:rsid w:val="0086359F"/>
    <w:rsid w:val="008640A4"/>
    <w:rsid w:val="00865699"/>
    <w:rsid w:val="00867134"/>
    <w:rsid w:val="00871A3A"/>
    <w:rsid w:val="00874794"/>
    <w:rsid w:val="00876973"/>
    <w:rsid w:val="008849DA"/>
    <w:rsid w:val="00885EB2"/>
    <w:rsid w:val="008877D7"/>
    <w:rsid w:val="00894ADE"/>
    <w:rsid w:val="008A01D6"/>
    <w:rsid w:val="008A299A"/>
    <w:rsid w:val="008A362B"/>
    <w:rsid w:val="008A3F90"/>
    <w:rsid w:val="008A775D"/>
    <w:rsid w:val="008B0BCE"/>
    <w:rsid w:val="008B1074"/>
    <w:rsid w:val="008B380C"/>
    <w:rsid w:val="008B4C21"/>
    <w:rsid w:val="008B59F9"/>
    <w:rsid w:val="008B7493"/>
    <w:rsid w:val="008C2A70"/>
    <w:rsid w:val="008D13F9"/>
    <w:rsid w:val="008D63F9"/>
    <w:rsid w:val="008E187C"/>
    <w:rsid w:val="008E1BB8"/>
    <w:rsid w:val="008F1E8C"/>
    <w:rsid w:val="008F2231"/>
    <w:rsid w:val="008F499F"/>
    <w:rsid w:val="008F50C1"/>
    <w:rsid w:val="009012E9"/>
    <w:rsid w:val="00904E59"/>
    <w:rsid w:val="00904E67"/>
    <w:rsid w:val="009056A8"/>
    <w:rsid w:val="00917CD8"/>
    <w:rsid w:val="00920EC1"/>
    <w:rsid w:val="0092216C"/>
    <w:rsid w:val="00924CFA"/>
    <w:rsid w:val="009305D8"/>
    <w:rsid w:val="009305DF"/>
    <w:rsid w:val="00931017"/>
    <w:rsid w:val="009321E9"/>
    <w:rsid w:val="00937665"/>
    <w:rsid w:val="00941BD3"/>
    <w:rsid w:val="00944428"/>
    <w:rsid w:val="00946BF1"/>
    <w:rsid w:val="009551C0"/>
    <w:rsid w:val="009554DB"/>
    <w:rsid w:val="009571C6"/>
    <w:rsid w:val="009704C4"/>
    <w:rsid w:val="00971514"/>
    <w:rsid w:val="009727DD"/>
    <w:rsid w:val="00973F71"/>
    <w:rsid w:val="009753A5"/>
    <w:rsid w:val="00977744"/>
    <w:rsid w:val="00980259"/>
    <w:rsid w:val="00981E62"/>
    <w:rsid w:val="00982C32"/>
    <w:rsid w:val="009847E5"/>
    <w:rsid w:val="00985165"/>
    <w:rsid w:val="009906C1"/>
    <w:rsid w:val="00990ECC"/>
    <w:rsid w:val="00992586"/>
    <w:rsid w:val="00995C65"/>
    <w:rsid w:val="009962D4"/>
    <w:rsid w:val="00997283"/>
    <w:rsid w:val="009A007F"/>
    <w:rsid w:val="009A2D47"/>
    <w:rsid w:val="009A3A5F"/>
    <w:rsid w:val="009A429C"/>
    <w:rsid w:val="009B0469"/>
    <w:rsid w:val="009B1CA3"/>
    <w:rsid w:val="009B5C64"/>
    <w:rsid w:val="009B65D1"/>
    <w:rsid w:val="009B79AF"/>
    <w:rsid w:val="009C36DF"/>
    <w:rsid w:val="009D1A8D"/>
    <w:rsid w:val="009D1E34"/>
    <w:rsid w:val="009D200D"/>
    <w:rsid w:val="009D2291"/>
    <w:rsid w:val="009D46EA"/>
    <w:rsid w:val="009D6AB6"/>
    <w:rsid w:val="009D781D"/>
    <w:rsid w:val="009E16D7"/>
    <w:rsid w:val="009E2AE6"/>
    <w:rsid w:val="009E4E53"/>
    <w:rsid w:val="009F0BAE"/>
    <w:rsid w:val="009F0EC9"/>
    <w:rsid w:val="009F1293"/>
    <w:rsid w:val="009F422F"/>
    <w:rsid w:val="00A04FA9"/>
    <w:rsid w:val="00A05D46"/>
    <w:rsid w:val="00A10B2F"/>
    <w:rsid w:val="00A10F92"/>
    <w:rsid w:val="00A14CEF"/>
    <w:rsid w:val="00A15B8B"/>
    <w:rsid w:val="00A20D02"/>
    <w:rsid w:val="00A22638"/>
    <w:rsid w:val="00A2596B"/>
    <w:rsid w:val="00A37911"/>
    <w:rsid w:val="00A4739C"/>
    <w:rsid w:val="00A511E4"/>
    <w:rsid w:val="00A524D2"/>
    <w:rsid w:val="00A61D74"/>
    <w:rsid w:val="00A635EF"/>
    <w:rsid w:val="00A63DE6"/>
    <w:rsid w:val="00A66586"/>
    <w:rsid w:val="00A70053"/>
    <w:rsid w:val="00A76DE6"/>
    <w:rsid w:val="00A77AC5"/>
    <w:rsid w:val="00A81140"/>
    <w:rsid w:val="00A92669"/>
    <w:rsid w:val="00AA081D"/>
    <w:rsid w:val="00AA3B28"/>
    <w:rsid w:val="00AA6E02"/>
    <w:rsid w:val="00AB09A4"/>
    <w:rsid w:val="00AB0F0D"/>
    <w:rsid w:val="00AB2853"/>
    <w:rsid w:val="00AC05DA"/>
    <w:rsid w:val="00AC1064"/>
    <w:rsid w:val="00AC1E75"/>
    <w:rsid w:val="00AC4118"/>
    <w:rsid w:val="00AD6612"/>
    <w:rsid w:val="00AE1146"/>
    <w:rsid w:val="00AE1AC8"/>
    <w:rsid w:val="00AE46BC"/>
    <w:rsid w:val="00AF40AC"/>
    <w:rsid w:val="00AF45C6"/>
    <w:rsid w:val="00B02975"/>
    <w:rsid w:val="00B02CD4"/>
    <w:rsid w:val="00B033C9"/>
    <w:rsid w:val="00B05D49"/>
    <w:rsid w:val="00B10684"/>
    <w:rsid w:val="00B13B61"/>
    <w:rsid w:val="00B15BDA"/>
    <w:rsid w:val="00B20769"/>
    <w:rsid w:val="00B20A09"/>
    <w:rsid w:val="00B22645"/>
    <w:rsid w:val="00B24562"/>
    <w:rsid w:val="00B27BC1"/>
    <w:rsid w:val="00B37C26"/>
    <w:rsid w:val="00B40681"/>
    <w:rsid w:val="00B433F8"/>
    <w:rsid w:val="00B47679"/>
    <w:rsid w:val="00B52F9C"/>
    <w:rsid w:val="00B546B9"/>
    <w:rsid w:val="00B55EFE"/>
    <w:rsid w:val="00B57595"/>
    <w:rsid w:val="00B575DF"/>
    <w:rsid w:val="00B60017"/>
    <w:rsid w:val="00B613DC"/>
    <w:rsid w:val="00B657F0"/>
    <w:rsid w:val="00B6720F"/>
    <w:rsid w:val="00B706F9"/>
    <w:rsid w:val="00B707BE"/>
    <w:rsid w:val="00B74C04"/>
    <w:rsid w:val="00B7776F"/>
    <w:rsid w:val="00B830AB"/>
    <w:rsid w:val="00B85D6F"/>
    <w:rsid w:val="00B86E93"/>
    <w:rsid w:val="00B93BED"/>
    <w:rsid w:val="00B95FF2"/>
    <w:rsid w:val="00B97CB4"/>
    <w:rsid w:val="00BA15A1"/>
    <w:rsid w:val="00BB3133"/>
    <w:rsid w:val="00BB5578"/>
    <w:rsid w:val="00BB6F35"/>
    <w:rsid w:val="00BC0221"/>
    <w:rsid w:val="00BC2ED3"/>
    <w:rsid w:val="00BC5C4C"/>
    <w:rsid w:val="00BC68E3"/>
    <w:rsid w:val="00BD0169"/>
    <w:rsid w:val="00BD40F4"/>
    <w:rsid w:val="00BD51AB"/>
    <w:rsid w:val="00BE010B"/>
    <w:rsid w:val="00BE0A88"/>
    <w:rsid w:val="00BF00F8"/>
    <w:rsid w:val="00BF2931"/>
    <w:rsid w:val="00C00DD9"/>
    <w:rsid w:val="00C04A2E"/>
    <w:rsid w:val="00C074ED"/>
    <w:rsid w:val="00C109CA"/>
    <w:rsid w:val="00C22721"/>
    <w:rsid w:val="00C25E1E"/>
    <w:rsid w:val="00C3522E"/>
    <w:rsid w:val="00C36170"/>
    <w:rsid w:val="00C415FF"/>
    <w:rsid w:val="00C451E9"/>
    <w:rsid w:val="00C46C47"/>
    <w:rsid w:val="00C4784D"/>
    <w:rsid w:val="00C5013D"/>
    <w:rsid w:val="00C57D40"/>
    <w:rsid w:val="00C61137"/>
    <w:rsid w:val="00C82992"/>
    <w:rsid w:val="00C83CA6"/>
    <w:rsid w:val="00C86310"/>
    <w:rsid w:val="00C865B3"/>
    <w:rsid w:val="00C86616"/>
    <w:rsid w:val="00C944E0"/>
    <w:rsid w:val="00C97F43"/>
    <w:rsid w:val="00CA7047"/>
    <w:rsid w:val="00CB00B0"/>
    <w:rsid w:val="00CB16F9"/>
    <w:rsid w:val="00CB28CF"/>
    <w:rsid w:val="00CB30B4"/>
    <w:rsid w:val="00CB56E5"/>
    <w:rsid w:val="00CB6F46"/>
    <w:rsid w:val="00CC4DD7"/>
    <w:rsid w:val="00CC586B"/>
    <w:rsid w:val="00CC7DBF"/>
    <w:rsid w:val="00CD6244"/>
    <w:rsid w:val="00CD6778"/>
    <w:rsid w:val="00CE0C69"/>
    <w:rsid w:val="00CE2CE4"/>
    <w:rsid w:val="00CE6F4C"/>
    <w:rsid w:val="00CF0033"/>
    <w:rsid w:val="00CF24E8"/>
    <w:rsid w:val="00CF2F3D"/>
    <w:rsid w:val="00CF5A58"/>
    <w:rsid w:val="00D01115"/>
    <w:rsid w:val="00D03351"/>
    <w:rsid w:val="00D04C85"/>
    <w:rsid w:val="00D074C3"/>
    <w:rsid w:val="00D07A12"/>
    <w:rsid w:val="00D07DE8"/>
    <w:rsid w:val="00D10522"/>
    <w:rsid w:val="00D10906"/>
    <w:rsid w:val="00D15EDD"/>
    <w:rsid w:val="00D16E30"/>
    <w:rsid w:val="00D23909"/>
    <w:rsid w:val="00D26239"/>
    <w:rsid w:val="00D26449"/>
    <w:rsid w:val="00D3118F"/>
    <w:rsid w:val="00D35112"/>
    <w:rsid w:val="00D3602E"/>
    <w:rsid w:val="00D455AD"/>
    <w:rsid w:val="00D455DB"/>
    <w:rsid w:val="00D47413"/>
    <w:rsid w:val="00D47E85"/>
    <w:rsid w:val="00D606CC"/>
    <w:rsid w:val="00D607C9"/>
    <w:rsid w:val="00D60A3D"/>
    <w:rsid w:val="00D62CE1"/>
    <w:rsid w:val="00D63410"/>
    <w:rsid w:val="00D706F4"/>
    <w:rsid w:val="00D7120E"/>
    <w:rsid w:val="00D7294D"/>
    <w:rsid w:val="00D8240F"/>
    <w:rsid w:val="00D92C97"/>
    <w:rsid w:val="00D937BB"/>
    <w:rsid w:val="00D96BEC"/>
    <w:rsid w:val="00D97272"/>
    <w:rsid w:val="00DA753B"/>
    <w:rsid w:val="00DB2577"/>
    <w:rsid w:val="00DB3789"/>
    <w:rsid w:val="00DB37A6"/>
    <w:rsid w:val="00DC065C"/>
    <w:rsid w:val="00DC13FE"/>
    <w:rsid w:val="00DC208C"/>
    <w:rsid w:val="00DC3599"/>
    <w:rsid w:val="00DC440F"/>
    <w:rsid w:val="00DD1A5D"/>
    <w:rsid w:val="00DD2113"/>
    <w:rsid w:val="00DD22AB"/>
    <w:rsid w:val="00DD4411"/>
    <w:rsid w:val="00DD7A71"/>
    <w:rsid w:val="00DD7BE8"/>
    <w:rsid w:val="00DE18A4"/>
    <w:rsid w:val="00DE1A26"/>
    <w:rsid w:val="00DE5CE7"/>
    <w:rsid w:val="00DE693A"/>
    <w:rsid w:val="00DF131B"/>
    <w:rsid w:val="00DF1E1E"/>
    <w:rsid w:val="00DF2415"/>
    <w:rsid w:val="00DF25BC"/>
    <w:rsid w:val="00DF4A07"/>
    <w:rsid w:val="00E049E8"/>
    <w:rsid w:val="00E051AF"/>
    <w:rsid w:val="00E07D47"/>
    <w:rsid w:val="00E14385"/>
    <w:rsid w:val="00E151CF"/>
    <w:rsid w:val="00E20912"/>
    <w:rsid w:val="00E236C9"/>
    <w:rsid w:val="00E33565"/>
    <w:rsid w:val="00E33C3E"/>
    <w:rsid w:val="00E3420A"/>
    <w:rsid w:val="00E34CAC"/>
    <w:rsid w:val="00E3553C"/>
    <w:rsid w:val="00E37B80"/>
    <w:rsid w:val="00E37CF6"/>
    <w:rsid w:val="00E4172C"/>
    <w:rsid w:val="00E428E1"/>
    <w:rsid w:val="00E4309F"/>
    <w:rsid w:val="00E46A3F"/>
    <w:rsid w:val="00E50C22"/>
    <w:rsid w:val="00E517A0"/>
    <w:rsid w:val="00E565B2"/>
    <w:rsid w:val="00E63A86"/>
    <w:rsid w:val="00E653BC"/>
    <w:rsid w:val="00E70730"/>
    <w:rsid w:val="00E70C98"/>
    <w:rsid w:val="00E724C0"/>
    <w:rsid w:val="00E7701E"/>
    <w:rsid w:val="00E81F91"/>
    <w:rsid w:val="00E922CA"/>
    <w:rsid w:val="00E94823"/>
    <w:rsid w:val="00EA0EE3"/>
    <w:rsid w:val="00EA0FB2"/>
    <w:rsid w:val="00EA174C"/>
    <w:rsid w:val="00EA182E"/>
    <w:rsid w:val="00EA1877"/>
    <w:rsid w:val="00EA35BC"/>
    <w:rsid w:val="00EA5E0E"/>
    <w:rsid w:val="00EA6F11"/>
    <w:rsid w:val="00EB06C8"/>
    <w:rsid w:val="00EC227F"/>
    <w:rsid w:val="00ED258A"/>
    <w:rsid w:val="00ED2AAF"/>
    <w:rsid w:val="00ED2DB9"/>
    <w:rsid w:val="00ED5A16"/>
    <w:rsid w:val="00ED5C5A"/>
    <w:rsid w:val="00ED71C1"/>
    <w:rsid w:val="00EE050D"/>
    <w:rsid w:val="00EE70CB"/>
    <w:rsid w:val="00EE79C8"/>
    <w:rsid w:val="00EF28FE"/>
    <w:rsid w:val="00EF2A2A"/>
    <w:rsid w:val="00EF7173"/>
    <w:rsid w:val="00F01D26"/>
    <w:rsid w:val="00F01DCC"/>
    <w:rsid w:val="00F03382"/>
    <w:rsid w:val="00F05054"/>
    <w:rsid w:val="00F11C76"/>
    <w:rsid w:val="00F121C9"/>
    <w:rsid w:val="00F13488"/>
    <w:rsid w:val="00F13560"/>
    <w:rsid w:val="00F14B4D"/>
    <w:rsid w:val="00F152AF"/>
    <w:rsid w:val="00F15672"/>
    <w:rsid w:val="00F17ECE"/>
    <w:rsid w:val="00F214C0"/>
    <w:rsid w:val="00F22F72"/>
    <w:rsid w:val="00F230F5"/>
    <w:rsid w:val="00F34A93"/>
    <w:rsid w:val="00F404A8"/>
    <w:rsid w:val="00F41660"/>
    <w:rsid w:val="00F42377"/>
    <w:rsid w:val="00F43F7A"/>
    <w:rsid w:val="00F44F4E"/>
    <w:rsid w:val="00F44FCB"/>
    <w:rsid w:val="00F46875"/>
    <w:rsid w:val="00F4792C"/>
    <w:rsid w:val="00F53041"/>
    <w:rsid w:val="00F61A40"/>
    <w:rsid w:val="00F62500"/>
    <w:rsid w:val="00F738DC"/>
    <w:rsid w:val="00F86BE7"/>
    <w:rsid w:val="00F915EE"/>
    <w:rsid w:val="00F938C5"/>
    <w:rsid w:val="00F97268"/>
    <w:rsid w:val="00FA277F"/>
    <w:rsid w:val="00FA7D02"/>
    <w:rsid w:val="00FB3485"/>
    <w:rsid w:val="00FC16ED"/>
    <w:rsid w:val="00FC26E8"/>
    <w:rsid w:val="00FC2B9E"/>
    <w:rsid w:val="00FC38EE"/>
    <w:rsid w:val="00FC5A31"/>
    <w:rsid w:val="00FC6B06"/>
    <w:rsid w:val="00FD0C39"/>
    <w:rsid w:val="00FD5285"/>
    <w:rsid w:val="00FF1820"/>
    <w:rsid w:val="00FF242D"/>
    <w:rsid w:val="00FF345A"/>
    <w:rsid w:val="028F1C5A"/>
    <w:rsid w:val="256F3DF0"/>
    <w:rsid w:val="28AEE438"/>
    <w:rsid w:val="2933165A"/>
    <w:rsid w:val="2AF902FB"/>
    <w:rsid w:val="33A7995F"/>
    <w:rsid w:val="34381147"/>
    <w:rsid w:val="3A02A117"/>
    <w:rsid w:val="3B5E7542"/>
    <w:rsid w:val="46FD4B71"/>
    <w:rsid w:val="555E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DC1B385"/>
  <w15:docId w15:val="{32CE5BBD-665B-455A-9A96-B1C4EB5E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C7358"/>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28CF"/>
    <w:rPr>
      <w:sz w:val="16"/>
      <w:szCs w:val="16"/>
    </w:rPr>
  </w:style>
  <w:style w:type="paragraph" w:styleId="CommentText">
    <w:name w:val="annotation text"/>
    <w:basedOn w:val="Normal"/>
    <w:link w:val="CommentTextChar"/>
    <w:uiPriority w:val="99"/>
    <w:unhideWhenUsed/>
    <w:rsid w:val="00CB28CF"/>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CB28CF"/>
    <w:rPr>
      <w:rFonts w:ascii="Times New Roman" w:hAnsi="Times New Roman" w:cs="Times New Roman"/>
      <w:sz w:val="20"/>
      <w:szCs w:val="20"/>
    </w:rPr>
  </w:style>
  <w:style w:type="character" w:styleId="PlaceholderText">
    <w:name w:val="Placeholder Text"/>
    <w:basedOn w:val="DefaultParagraphFont"/>
    <w:uiPriority w:val="99"/>
    <w:semiHidden/>
    <w:rsid w:val="00794F47"/>
    <w:rPr>
      <w:color w:val="808080"/>
    </w:rPr>
  </w:style>
  <w:style w:type="paragraph" w:styleId="ListParagraph">
    <w:name w:val="List Paragraph"/>
    <w:basedOn w:val="Normal"/>
    <w:uiPriority w:val="34"/>
    <w:qFormat/>
    <w:rsid w:val="00F4792C"/>
    <w:pPr>
      <w:ind w:left="720"/>
      <w:contextualSpacing/>
    </w:pPr>
  </w:style>
  <w:style w:type="paragraph" w:styleId="MessageHeader">
    <w:name w:val="Message Header"/>
    <w:basedOn w:val="BodyText"/>
    <w:link w:val="MessageHeaderChar"/>
    <w:unhideWhenUsed/>
    <w:rsid w:val="00F14B4D"/>
    <w:pPr>
      <w:keepLines/>
      <w:spacing w:line="180" w:lineRule="atLeast"/>
      <w:ind w:left="720" w:hanging="720"/>
    </w:pPr>
    <w:rPr>
      <w:rFonts w:ascii="Arial" w:eastAsia="Times New Roman" w:hAnsi="Arial" w:cs="Times New Roman"/>
      <w:spacing w:val="-5"/>
      <w:sz w:val="20"/>
      <w:szCs w:val="20"/>
    </w:rPr>
  </w:style>
  <w:style w:type="character" w:customStyle="1" w:styleId="MessageHeaderChar">
    <w:name w:val="Message Header Char"/>
    <w:basedOn w:val="DefaultParagraphFont"/>
    <w:link w:val="MessageHeader"/>
    <w:rsid w:val="00F14B4D"/>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F14B4D"/>
    <w:pPr>
      <w:spacing w:after="120"/>
    </w:pPr>
  </w:style>
  <w:style w:type="character" w:customStyle="1" w:styleId="BodyTextChar">
    <w:name w:val="Body Text Char"/>
    <w:basedOn w:val="DefaultParagraphFont"/>
    <w:link w:val="BodyText"/>
    <w:uiPriority w:val="99"/>
    <w:semiHidden/>
    <w:rsid w:val="00F14B4D"/>
  </w:style>
  <w:style w:type="paragraph" w:styleId="CommentSubject">
    <w:name w:val="annotation subject"/>
    <w:basedOn w:val="CommentText"/>
    <w:next w:val="CommentText"/>
    <w:link w:val="CommentSubjectChar"/>
    <w:uiPriority w:val="99"/>
    <w:semiHidden/>
    <w:unhideWhenUsed/>
    <w:rsid w:val="00DC3599"/>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DC3599"/>
    <w:rPr>
      <w:rFonts w:ascii="Times New Roman" w:hAnsi="Times New Roman" w:cs="Times New Roman"/>
      <w:b/>
      <w:bCs/>
      <w:sz w:val="20"/>
      <w:szCs w:val="20"/>
    </w:rPr>
  </w:style>
  <w:style w:type="paragraph" w:styleId="Header">
    <w:name w:val="header"/>
    <w:basedOn w:val="Normal"/>
    <w:link w:val="HeaderChar"/>
    <w:uiPriority w:val="99"/>
    <w:unhideWhenUsed/>
    <w:rsid w:val="007A7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CEC"/>
  </w:style>
  <w:style w:type="paragraph" w:styleId="Footer">
    <w:name w:val="footer"/>
    <w:basedOn w:val="Normal"/>
    <w:link w:val="FooterChar"/>
    <w:uiPriority w:val="99"/>
    <w:unhideWhenUsed/>
    <w:rsid w:val="007A7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CEC"/>
  </w:style>
  <w:style w:type="paragraph" w:styleId="FootnoteText">
    <w:name w:val="footnote text"/>
    <w:basedOn w:val="Normal"/>
    <w:link w:val="FootnoteTextChar"/>
    <w:uiPriority w:val="99"/>
    <w:unhideWhenUsed/>
    <w:rsid w:val="0021685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1685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16855"/>
    <w:rPr>
      <w:vertAlign w:val="superscript"/>
    </w:rPr>
  </w:style>
  <w:style w:type="character" w:customStyle="1" w:styleId="Heading2Char">
    <w:name w:val="Heading 2 Char"/>
    <w:basedOn w:val="DefaultParagraphFont"/>
    <w:link w:val="Heading2"/>
    <w:uiPriority w:val="9"/>
    <w:semiHidden/>
    <w:rsid w:val="002C7358"/>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978A2"/>
    <w:pPr>
      <w:spacing w:after="0" w:line="240" w:lineRule="auto"/>
    </w:pPr>
  </w:style>
  <w:style w:type="paragraph" w:styleId="Revision">
    <w:name w:val="Revision"/>
    <w:hidden/>
    <w:uiPriority w:val="99"/>
    <w:semiHidden/>
    <w:rsid w:val="00DE18A4"/>
    <w:pPr>
      <w:spacing w:after="0" w:line="240" w:lineRule="auto"/>
    </w:pPr>
  </w:style>
  <w:style w:type="table" w:styleId="TableGridLight">
    <w:name w:val="Grid Table Light"/>
    <w:basedOn w:val="TableNormal"/>
    <w:uiPriority w:val="40"/>
    <w:rsid w:val="00E33565"/>
    <w:pPr>
      <w:widowControl w:val="0"/>
      <w:autoSpaceDE w:val="0"/>
      <w:autoSpaceDN w:val="0"/>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uiPriority w:val="22"/>
    <w:qFormat/>
    <w:rsid w:val="00365279"/>
    <w:rPr>
      <w:b/>
      <w:bCs/>
    </w:rPr>
  </w:style>
  <w:style w:type="paragraph" w:styleId="NormalWeb">
    <w:name w:val="Normal (Web)"/>
    <w:basedOn w:val="Normal"/>
    <w:uiPriority w:val="99"/>
    <w:semiHidden/>
    <w:unhideWhenUsed/>
    <w:rsid w:val="006967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05354">
      <w:bodyDiv w:val="1"/>
      <w:marLeft w:val="0"/>
      <w:marRight w:val="0"/>
      <w:marTop w:val="0"/>
      <w:marBottom w:val="0"/>
      <w:divBdr>
        <w:top w:val="none" w:sz="0" w:space="0" w:color="auto"/>
        <w:left w:val="none" w:sz="0" w:space="0" w:color="auto"/>
        <w:bottom w:val="none" w:sz="0" w:space="0" w:color="auto"/>
        <w:right w:val="none" w:sz="0" w:space="0" w:color="auto"/>
      </w:divBdr>
    </w:div>
    <w:div w:id="185020295">
      <w:bodyDiv w:val="1"/>
      <w:marLeft w:val="0"/>
      <w:marRight w:val="0"/>
      <w:marTop w:val="0"/>
      <w:marBottom w:val="0"/>
      <w:divBdr>
        <w:top w:val="none" w:sz="0" w:space="0" w:color="auto"/>
        <w:left w:val="none" w:sz="0" w:space="0" w:color="auto"/>
        <w:bottom w:val="none" w:sz="0" w:space="0" w:color="auto"/>
        <w:right w:val="none" w:sz="0" w:space="0" w:color="auto"/>
      </w:divBdr>
    </w:div>
    <w:div w:id="415513767">
      <w:bodyDiv w:val="1"/>
      <w:marLeft w:val="0"/>
      <w:marRight w:val="0"/>
      <w:marTop w:val="0"/>
      <w:marBottom w:val="0"/>
      <w:divBdr>
        <w:top w:val="none" w:sz="0" w:space="0" w:color="auto"/>
        <w:left w:val="none" w:sz="0" w:space="0" w:color="auto"/>
        <w:bottom w:val="none" w:sz="0" w:space="0" w:color="auto"/>
        <w:right w:val="none" w:sz="0" w:space="0" w:color="auto"/>
      </w:divBdr>
    </w:div>
    <w:div w:id="442961541">
      <w:bodyDiv w:val="1"/>
      <w:marLeft w:val="0"/>
      <w:marRight w:val="0"/>
      <w:marTop w:val="0"/>
      <w:marBottom w:val="0"/>
      <w:divBdr>
        <w:top w:val="none" w:sz="0" w:space="0" w:color="auto"/>
        <w:left w:val="none" w:sz="0" w:space="0" w:color="auto"/>
        <w:bottom w:val="none" w:sz="0" w:space="0" w:color="auto"/>
        <w:right w:val="none" w:sz="0" w:space="0" w:color="auto"/>
      </w:divBdr>
    </w:div>
    <w:div w:id="1029456653">
      <w:bodyDiv w:val="1"/>
      <w:marLeft w:val="0"/>
      <w:marRight w:val="0"/>
      <w:marTop w:val="0"/>
      <w:marBottom w:val="0"/>
      <w:divBdr>
        <w:top w:val="none" w:sz="0" w:space="0" w:color="auto"/>
        <w:left w:val="none" w:sz="0" w:space="0" w:color="auto"/>
        <w:bottom w:val="none" w:sz="0" w:space="0" w:color="auto"/>
        <w:right w:val="none" w:sz="0" w:space="0" w:color="auto"/>
      </w:divBdr>
    </w:div>
    <w:div w:id="1172179179">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451434065">
      <w:bodyDiv w:val="1"/>
      <w:marLeft w:val="0"/>
      <w:marRight w:val="0"/>
      <w:marTop w:val="0"/>
      <w:marBottom w:val="0"/>
      <w:divBdr>
        <w:top w:val="none" w:sz="0" w:space="0" w:color="auto"/>
        <w:left w:val="none" w:sz="0" w:space="0" w:color="auto"/>
        <w:bottom w:val="none" w:sz="0" w:space="0" w:color="auto"/>
        <w:right w:val="none" w:sz="0" w:space="0" w:color="auto"/>
      </w:divBdr>
    </w:div>
    <w:div w:id="1482651173">
      <w:bodyDiv w:val="1"/>
      <w:marLeft w:val="0"/>
      <w:marRight w:val="0"/>
      <w:marTop w:val="0"/>
      <w:marBottom w:val="0"/>
      <w:divBdr>
        <w:top w:val="none" w:sz="0" w:space="0" w:color="auto"/>
        <w:left w:val="none" w:sz="0" w:space="0" w:color="auto"/>
        <w:bottom w:val="none" w:sz="0" w:space="0" w:color="auto"/>
        <w:right w:val="none" w:sz="0" w:space="0" w:color="auto"/>
      </w:divBdr>
    </w:div>
    <w:div w:id="1837262287">
      <w:bodyDiv w:val="1"/>
      <w:marLeft w:val="0"/>
      <w:marRight w:val="0"/>
      <w:marTop w:val="0"/>
      <w:marBottom w:val="0"/>
      <w:divBdr>
        <w:top w:val="none" w:sz="0" w:space="0" w:color="auto"/>
        <w:left w:val="none" w:sz="0" w:space="0" w:color="auto"/>
        <w:bottom w:val="none" w:sz="0" w:space="0" w:color="auto"/>
        <w:right w:val="none" w:sz="0" w:space="0" w:color="auto"/>
      </w:divBdr>
    </w:div>
    <w:div w:id="1917399297">
      <w:bodyDiv w:val="1"/>
      <w:marLeft w:val="0"/>
      <w:marRight w:val="0"/>
      <w:marTop w:val="0"/>
      <w:marBottom w:val="0"/>
      <w:divBdr>
        <w:top w:val="none" w:sz="0" w:space="0" w:color="auto"/>
        <w:left w:val="none" w:sz="0" w:space="0" w:color="auto"/>
        <w:bottom w:val="none" w:sz="0" w:space="0" w:color="auto"/>
        <w:right w:val="none" w:sz="0" w:space="0" w:color="auto"/>
      </w:divBdr>
    </w:div>
    <w:div w:id="1928079008">
      <w:bodyDiv w:val="1"/>
      <w:marLeft w:val="0"/>
      <w:marRight w:val="0"/>
      <w:marTop w:val="0"/>
      <w:marBottom w:val="0"/>
      <w:divBdr>
        <w:top w:val="none" w:sz="0" w:space="0" w:color="auto"/>
        <w:left w:val="none" w:sz="0" w:space="0" w:color="auto"/>
        <w:bottom w:val="none" w:sz="0" w:space="0" w:color="auto"/>
        <w:right w:val="none" w:sz="0" w:space="0" w:color="auto"/>
      </w:divBdr>
    </w:div>
    <w:div w:id="2054650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ontrol" Target="activeX/activeX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FAB7196FCD6A45A94B78D4C31BD514" ma:contentTypeVersion="8" ma:contentTypeDescription="Create a new document." ma:contentTypeScope="" ma:versionID="551df3b36dc3c81fab15662d607cf258">
  <xsd:schema xmlns:xsd="http://www.w3.org/2001/XMLSchema" xmlns:xs="http://www.w3.org/2001/XMLSchema" xmlns:p="http://schemas.microsoft.com/office/2006/metadata/properties" xmlns:ns3="8129cfc1-7f41-4c89-9705-aa490d15572b" xmlns:ns4="d8cb2d08-b2de-41f1-9274-6bca7fe17ff6" targetNamespace="http://schemas.microsoft.com/office/2006/metadata/properties" ma:root="true" ma:fieldsID="27dc50f9da6be1148cbf9b9ed542d666" ns3:_="" ns4:_="">
    <xsd:import namespace="8129cfc1-7f41-4c89-9705-aa490d15572b"/>
    <xsd:import namespace="d8cb2d08-b2de-41f1-9274-6bca7fe17ff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9cfc1-7f41-4c89-9705-aa490d155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b2d08-b2de-41f1-9274-6bca7fe17f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129cfc1-7f41-4c89-9705-aa490d15572b" xsi:nil="true"/>
  </documentManagement>
</p:properties>
</file>

<file path=customXml/itemProps1.xml><?xml version="1.0" encoding="utf-8"?>
<ds:datastoreItem xmlns:ds="http://schemas.openxmlformats.org/officeDocument/2006/customXml" ds:itemID="{8B8DBE6A-3B85-4784-BDB7-047D6021F863}">
  <ds:schemaRefs>
    <ds:schemaRef ds:uri="http://schemas.openxmlformats.org/officeDocument/2006/bibliography"/>
  </ds:schemaRefs>
</ds:datastoreItem>
</file>

<file path=customXml/itemProps2.xml><?xml version="1.0" encoding="utf-8"?>
<ds:datastoreItem xmlns:ds="http://schemas.openxmlformats.org/officeDocument/2006/customXml" ds:itemID="{51756395-CAC8-43B1-BFFB-A0ED270EF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9cfc1-7f41-4c89-9705-aa490d15572b"/>
    <ds:schemaRef ds:uri="d8cb2d08-b2de-41f1-9274-6bca7fe17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B7B2C-8A53-4486-9800-F0629D64FE18}">
  <ds:schemaRefs>
    <ds:schemaRef ds:uri="http://schemas.microsoft.com/sharepoint/v3/contenttype/forms"/>
  </ds:schemaRefs>
</ds:datastoreItem>
</file>

<file path=customXml/itemProps4.xml><?xml version="1.0" encoding="utf-8"?>
<ds:datastoreItem xmlns:ds="http://schemas.openxmlformats.org/officeDocument/2006/customXml" ds:itemID="{C9065AA1-D8CB-44D0-97E0-131F6782FFAC}">
  <ds:schemaRefs>
    <ds:schemaRef ds:uri="http://schemas.microsoft.com/office/2006/metadata/properties"/>
    <ds:schemaRef ds:uri="http://schemas.microsoft.com/office/infopath/2007/PartnerControls"/>
    <ds:schemaRef ds:uri="8129cfc1-7f41-4c89-9705-aa490d15572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2431</Words>
  <Characters>13861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Secia</dc:creator>
  <cp:keywords/>
  <dc:description/>
  <cp:lastModifiedBy>Joanne P. Swedlow</cp:lastModifiedBy>
  <cp:revision>2</cp:revision>
  <cp:lastPrinted>2024-07-24T23:08:00Z</cp:lastPrinted>
  <dcterms:created xsi:type="dcterms:W3CDTF">2024-09-26T16:37:00Z</dcterms:created>
  <dcterms:modified xsi:type="dcterms:W3CDTF">2024-09-26T16:37:00Z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0x01010021FAB7196FCD6A45A94B78D4C31BD514</vt:lpwstr>
  </property>
</Properties>
</file>