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FA1D" w14:textId="77777777" w:rsidR="00BC1910" w:rsidRPr="00F05EFF" w:rsidRDefault="00BC1910" w:rsidP="00BC1910">
      <w:pPr>
        <w:pStyle w:val="Default"/>
        <w:jc w:val="center"/>
        <w:rPr>
          <w:rFonts w:ascii="Arial" w:hAnsi="Arial" w:cs="Arial"/>
        </w:rPr>
      </w:pPr>
      <w:r w:rsidRPr="00F05EFF">
        <w:rPr>
          <w:rFonts w:ascii="Arial" w:hAnsi="Arial" w:cs="Arial"/>
          <w:b/>
          <w:bCs/>
        </w:rPr>
        <w:t xml:space="preserve">STATE OF CALIFORNIA </w:t>
      </w:r>
    </w:p>
    <w:p w14:paraId="721F08DE" w14:textId="77777777" w:rsidR="00BC1910" w:rsidRPr="00F05EFF" w:rsidRDefault="00BC1910" w:rsidP="00BC1910">
      <w:pPr>
        <w:pStyle w:val="Default"/>
        <w:jc w:val="center"/>
        <w:rPr>
          <w:rFonts w:ascii="Arial" w:hAnsi="Arial" w:cs="Arial"/>
        </w:rPr>
      </w:pPr>
      <w:r w:rsidRPr="00F05EFF">
        <w:rPr>
          <w:rFonts w:ascii="Arial" w:hAnsi="Arial" w:cs="Arial"/>
          <w:b/>
          <w:bCs/>
        </w:rPr>
        <w:t xml:space="preserve">DEPARTMENT OF INDUSTRIAL RELATIONS </w:t>
      </w:r>
    </w:p>
    <w:p w14:paraId="2BA420CA" w14:textId="77777777" w:rsidR="00F55838" w:rsidRPr="00F05EFF" w:rsidRDefault="00BC1910" w:rsidP="003E75EA">
      <w:pPr>
        <w:pStyle w:val="Default"/>
        <w:spacing w:after="240"/>
        <w:jc w:val="center"/>
        <w:rPr>
          <w:rFonts w:ascii="Arial" w:hAnsi="Arial" w:cs="Arial"/>
          <w:b/>
          <w:bCs/>
        </w:rPr>
      </w:pPr>
      <w:r w:rsidRPr="00F05EFF">
        <w:rPr>
          <w:rFonts w:ascii="Arial" w:hAnsi="Arial" w:cs="Arial"/>
          <w:b/>
          <w:bCs/>
        </w:rPr>
        <w:t xml:space="preserve">DIVISION OF WORKERS’ COMPENSATION </w:t>
      </w:r>
    </w:p>
    <w:p w14:paraId="528AADD6" w14:textId="77777777" w:rsidR="00F55838" w:rsidRPr="00F05EFF" w:rsidRDefault="00783C81" w:rsidP="003E75EA">
      <w:pPr>
        <w:widowControl/>
        <w:spacing w:after="240"/>
        <w:jc w:val="center"/>
        <w:rPr>
          <w:rFonts w:ascii="Arial" w:hAnsi="Arial" w:cs="Arial"/>
          <w:b/>
          <w:color w:val="000000"/>
          <w:sz w:val="24"/>
          <w:szCs w:val="24"/>
        </w:rPr>
      </w:pPr>
      <w:r>
        <w:rPr>
          <w:rFonts w:ascii="Arial" w:hAnsi="Arial" w:cs="Arial"/>
          <w:b/>
          <w:color w:val="000000"/>
          <w:sz w:val="24"/>
          <w:szCs w:val="24"/>
        </w:rPr>
        <w:t xml:space="preserve">ADDENDUM TO </w:t>
      </w:r>
      <w:r w:rsidR="0087540D" w:rsidRPr="00F05EFF">
        <w:rPr>
          <w:rFonts w:ascii="Arial" w:hAnsi="Arial" w:cs="Arial"/>
          <w:b/>
          <w:color w:val="000000"/>
          <w:sz w:val="24"/>
          <w:szCs w:val="24"/>
        </w:rPr>
        <w:t>FINAL</w:t>
      </w:r>
      <w:r w:rsidR="00F55838" w:rsidRPr="00F05EFF">
        <w:rPr>
          <w:rFonts w:ascii="Arial" w:hAnsi="Arial" w:cs="Arial"/>
          <w:b/>
          <w:color w:val="000000"/>
          <w:sz w:val="24"/>
          <w:szCs w:val="24"/>
        </w:rPr>
        <w:t xml:space="preserve"> STATEMENT OF REASONS</w:t>
      </w:r>
    </w:p>
    <w:p w14:paraId="2D3BDD62" w14:textId="77777777" w:rsidR="00F55838" w:rsidRPr="00F05EFF" w:rsidRDefault="00F55838">
      <w:pPr>
        <w:widowControl/>
        <w:jc w:val="center"/>
        <w:rPr>
          <w:rFonts w:ascii="Arial" w:hAnsi="Arial" w:cs="Arial"/>
          <w:b/>
          <w:color w:val="000000"/>
          <w:sz w:val="24"/>
          <w:szCs w:val="24"/>
        </w:rPr>
      </w:pPr>
      <w:r w:rsidRPr="00F05EFF">
        <w:rPr>
          <w:rFonts w:ascii="Arial" w:hAnsi="Arial" w:cs="Arial"/>
          <w:b/>
          <w:color w:val="000000"/>
          <w:sz w:val="24"/>
          <w:szCs w:val="24"/>
        </w:rPr>
        <w:t>Subject Matter of Regulations:  Workers’ Compensation</w:t>
      </w:r>
    </w:p>
    <w:p w14:paraId="6CA8CEFE" w14:textId="77777777" w:rsidR="00F55838" w:rsidRPr="00F05EFF" w:rsidRDefault="00F55838"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Qualified Medical Evaluator Regulations</w:t>
      </w:r>
    </w:p>
    <w:p w14:paraId="2319D0AC" w14:textId="77777777" w:rsidR="00F55838" w:rsidRPr="00F05EFF" w:rsidRDefault="00F55838">
      <w:pPr>
        <w:widowControl/>
        <w:jc w:val="center"/>
        <w:rPr>
          <w:rFonts w:ascii="Arial" w:hAnsi="Arial" w:cs="Arial"/>
          <w:b/>
          <w:color w:val="000000"/>
          <w:sz w:val="24"/>
          <w:szCs w:val="24"/>
          <w:u w:val="single"/>
        </w:rPr>
      </w:pPr>
      <w:r w:rsidRPr="00F05EFF">
        <w:rPr>
          <w:rFonts w:ascii="Arial" w:hAnsi="Arial" w:cs="Arial"/>
          <w:b/>
          <w:color w:val="000000"/>
          <w:sz w:val="24"/>
          <w:szCs w:val="24"/>
          <w:u w:val="single"/>
        </w:rPr>
        <w:t>TITLE 8.  CALIFORNIA CODE OF REGULATIONS</w:t>
      </w:r>
    </w:p>
    <w:p w14:paraId="30672DA1" w14:textId="77777777" w:rsidR="00F55838" w:rsidRPr="00F05EFF" w:rsidRDefault="001A49A2" w:rsidP="00FC75FB">
      <w:pPr>
        <w:widowControl/>
        <w:spacing w:after="600"/>
        <w:jc w:val="center"/>
        <w:rPr>
          <w:rFonts w:ascii="Arial" w:hAnsi="Arial" w:cs="Arial"/>
          <w:b/>
          <w:color w:val="000000"/>
          <w:sz w:val="24"/>
          <w:szCs w:val="24"/>
          <w:u w:val="single"/>
        </w:rPr>
      </w:pPr>
      <w:r w:rsidRPr="00F05EFF">
        <w:rPr>
          <w:rFonts w:ascii="Arial" w:hAnsi="Arial" w:cs="Arial"/>
          <w:b/>
          <w:color w:val="000000"/>
          <w:sz w:val="24"/>
          <w:szCs w:val="24"/>
          <w:u w:val="single"/>
        </w:rPr>
        <w:t>SECTION 36.7</w:t>
      </w:r>
    </w:p>
    <w:p w14:paraId="014E367C" w14:textId="77777777" w:rsidR="004161EE" w:rsidRPr="00F05EFF" w:rsidRDefault="004161EE" w:rsidP="00FC75FB">
      <w:pPr>
        <w:autoSpaceDE/>
        <w:autoSpaceDN/>
        <w:adjustRightInd/>
        <w:spacing w:after="120"/>
        <w:rPr>
          <w:rFonts w:ascii="Arial" w:hAnsi="Arial" w:cs="Arial"/>
          <w:sz w:val="24"/>
          <w:szCs w:val="24"/>
        </w:rPr>
      </w:pPr>
      <w:r w:rsidRPr="004161EE">
        <w:rPr>
          <w:rFonts w:ascii="Arial" w:hAnsi="Arial" w:cs="Arial"/>
          <w:sz w:val="24"/>
          <w:szCs w:val="24"/>
        </w:rPr>
        <w:t xml:space="preserve">The Administrative Director of 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has adopted</w:t>
      </w:r>
      <w:r w:rsidRPr="00F05EFF">
        <w:rPr>
          <w:rFonts w:ascii="Arial" w:hAnsi="Arial" w:cs="Arial"/>
          <w:sz w:val="24"/>
          <w:szCs w:val="24"/>
        </w:rPr>
        <w:t xml:space="preserve"> the</w:t>
      </w:r>
      <w:r w:rsidRPr="004161EE">
        <w:rPr>
          <w:rFonts w:ascii="Arial" w:hAnsi="Arial" w:cs="Arial"/>
          <w:sz w:val="24"/>
          <w:szCs w:val="24"/>
        </w:rPr>
        <w:t xml:space="preserve"> </w:t>
      </w:r>
      <w:r w:rsidRPr="00F05EFF">
        <w:rPr>
          <w:rFonts w:ascii="Arial" w:hAnsi="Arial" w:cs="Arial"/>
          <w:sz w:val="24"/>
          <w:szCs w:val="24"/>
        </w:rPr>
        <w:t>regulation</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 and Labor Code section 4628</w:t>
      </w:r>
      <w:r w:rsidRPr="004161EE">
        <w:rPr>
          <w:rFonts w:ascii="Arial" w:hAnsi="Arial" w:cs="Arial"/>
          <w:sz w:val="24"/>
          <w:szCs w:val="24"/>
        </w:rPr>
        <w:t xml:space="preserve">. </w:t>
      </w:r>
      <w:r w:rsidR="00F05EFF" w:rsidRPr="00F05EFF">
        <w:rPr>
          <w:rFonts w:ascii="Arial" w:hAnsi="Arial" w:cs="Arial"/>
          <w:color w:val="000000"/>
          <w:sz w:val="24"/>
          <w:szCs w:val="24"/>
        </w:rPr>
        <w:t>The regulation</w:t>
      </w:r>
      <w:r w:rsidRPr="004161EE">
        <w:rPr>
          <w:rFonts w:ascii="Arial" w:hAnsi="Arial" w:cs="Arial"/>
          <w:color w:val="000000"/>
          <w:sz w:val="24"/>
          <w:szCs w:val="24"/>
        </w:rPr>
        <w:t xml:space="preserve"> </w:t>
      </w:r>
      <w:r w:rsidRPr="004161EE">
        <w:rPr>
          <w:rFonts w:ascii="Arial" w:hAnsi="Arial" w:cs="Arial"/>
          <w:sz w:val="24"/>
          <w:szCs w:val="24"/>
        </w:rPr>
        <w:t>adopt</w:t>
      </w:r>
      <w:r w:rsidR="00F05EFF" w:rsidRPr="00F05EFF">
        <w:rPr>
          <w:rFonts w:ascii="Arial" w:hAnsi="Arial" w:cs="Arial"/>
          <w:sz w:val="24"/>
          <w:szCs w:val="24"/>
        </w:rPr>
        <w:t>s Article 3 of Chapter 1</w:t>
      </w:r>
      <w:r w:rsidRPr="004161EE">
        <w:rPr>
          <w:rFonts w:ascii="Arial" w:hAnsi="Arial" w:cs="Arial"/>
          <w:sz w:val="24"/>
          <w:szCs w:val="24"/>
        </w:rPr>
        <w:t>, of Title 8,</w:t>
      </w:r>
      <w:r w:rsidR="00444D97">
        <w:rPr>
          <w:rFonts w:ascii="Arial" w:hAnsi="Arial" w:cs="Arial"/>
          <w:sz w:val="24"/>
          <w:szCs w:val="24"/>
        </w:rPr>
        <w:t xml:space="preserve"> California Code of Regulations</w:t>
      </w:r>
      <w:r w:rsidRPr="004161EE">
        <w:rPr>
          <w:rFonts w:ascii="Arial" w:hAnsi="Arial" w:cs="Arial"/>
          <w:sz w:val="24"/>
          <w:szCs w:val="24"/>
        </w:rPr>
        <w:t xml:space="preserve"> sect</w:t>
      </w:r>
      <w:r w:rsidR="00F05EFF" w:rsidRPr="00F05EFF">
        <w:rPr>
          <w:rFonts w:ascii="Arial" w:hAnsi="Arial" w:cs="Arial"/>
          <w:sz w:val="24"/>
          <w:szCs w:val="24"/>
        </w:rPr>
        <w:t>ion</w:t>
      </w:r>
      <w:r w:rsidRPr="004161EE">
        <w:rPr>
          <w:rFonts w:ascii="Arial" w:hAnsi="Arial" w:cs="Arial"/>
          <w:sz w:val="24"/>
          <w:szCs w:val="24"/>
        </w:rPr>
        <w:t xml:space="preserve"> </w:t>
      </w:r>
      <w:r w:rsidR="00F05EFF" w:rsidRPr="00F05EFF">
        <w:rPr>
          <w:rFonts w:ascii="Arial" w:hAnsi="Arial" w:cs="Arial"/>
          <w:sz w:val="24"/>
          <w:szCs w:val="24"/>
        </w:rPr>
        <w:t>36.7</w:t>
      </w:r>
      <w:r w:rsidRPr="004161EE">
        <w:rPr>
          <w:rFonts w:ascii="Arial" w:hAnsi="Arial" w:cs="Arial"/>
          <w:sz w:val="24"/>
          <w:szCs w:val="24"/>
        </w:rPr>
        <w:t xml:space="preserve">. </w:t>
      </w:r>
      <w:r w:rsidR="00F05EFF" w:rsidRPr="00F05EFF">
        <w:rPr>
          <w:rFonts w:ascii="Arial" w:hAnsi="Arial" w:cs="Arial"/>
          <w:color w:val="000000"/>
          <w:sz w:val="24"/>
          <w:szCs w:val="24"/>
        </w:rPr>
        <w:t xml:space="preserve">The regulation governs Workers’ Compensation Qualified Medical Evaluators.  </w:t>
      </w:r>
      <w:r w:rsidRPr="004161EE">
        <w:rPr>
          <w:rFonts w:ascii="Arial" w:hAnsi="Arial" w:cs="Arial"/>
          <w:sz w:val="24"/>
          <w:szCs w:val="24"/>
        </w:rPr>
        <w:t>The regulation</w:t>
      </w:r>
      <w:r w:rsidR="00F05EFF" w:rsidRPr="00F05EFF">
        <w:rPr>
          <w:rFonts w:ascii="Arial" w:hAnsi="Arial" w:cs="Arial"/>
          <w:sz w:val="24"/>
          <w:szCs w:val="24"/>
        </w:rPr>
        <w:t xml:space="preserve"> is</w:t>
      </w:r>
      <w:r w:rsidRPr="004161EE">
        <w:rPr>
          <w:rFonts w:ascii="Arial" w:hAnsi="Arial" w:cs="Arial"/>
          <w:sz w:val="24"/>
          <w:szCs w:val="24"/>
        </w:rPr>
        <w:t>:</w:t>
      </w:r>
    </w:p>
    <w:p w14:paraId="308CE0FB" w14:textId="77777777" w:rsidR="00370A47" w:rsidRPr="00F05EFF" w:rsidRDefault="004161EE" w:rsidP="00FC75FB">
      <w:pPr>
        <w:widowControl/>
        <w:spacing w:after="360"/>
        <w:rPr>
          <w:rFonts w:ascii="Arial" w:hAnsi="Arial" w:cs="Arial"/>
          <w:sz w:val="24"/>
          <w:szCs w:val="24"/>
        </w:rPr>
      </w:pPr>
      <w:r w:rsidRPr="00F05EFF">
        <w:rPr>
          <w:rFonts w:ascii="Arial" w:hAnsi="Arial" w:cs="Arial"/>
          <w:sz w:val="24"/>
          <w:szCs w:val="24"/>
        </w:rPr>
        <w:t>Adopt</w:t>
      </w:r>
      <w:r w:rsidR="00444D97">
        <w:rPr>
          <w:rFonts w:ascii="Arial" w:hAnsi="Arial" w:cs="Arial"/>
          <w:sz w:val="24"/>
          <w:szCs w:val="24"/>
        </w:rPr>
        <w:t xml:space="preserve"> section 36.7</w:t>
      </w:r>
      <w:r w:rsidR="00444D97">
        <w:rPr>
          <w:rFonts w:ascii="Arial" w:hAnsi="Arial" w:cs="Arial"/>
          <w:sz w:val="24"/>
          <w:szCs w:val="24"/>
        </w:rPr>
        <w:tab/>
      </w:r>
      <w:r w:rsidR="00E42A09" w:rsidRPr="00F05EFF">
        <w:rPr>
          <w:rFonts w:ascii="Arial" w:hAnsi="Arial" w:cs="Arial"/>
          <w:sz w:val="24"/>
          <w:szCs w:val="24"/>
        </w:rPr>
        <w:t>Electronic Service</w:t>
      </w:r>
      <w:r w:rsidR="00606FAC" w:rsidRPr="00F05EFF">
        <w:rPr>
          <w:rFonts w:ascii="Arial" w:hAnsi="Arial" w:cs="Arial"/>
          <w:sz w:val="24"/>
          <w:szCs w:val="24"/>
        </w:rPr>
        <w:t xml:space="preserve"> of Medical-Legal Reports by Medical Evaluators </w:t>
      </w:r>
    </w:p>
    <w:p w14:paraId="279FBDED" w14:textId="77777777" w:rsidR="00EB068F" w:rsidRPr="00EB068F" w:rsidRDefault="00EB068F" w:rsidP="00FC75FB">
      <w:pPr>
        <w:autoSpaceDE/>
        <w:autoSpaceDN/>
        <w:adjustRightInd/>
        <w:spacing w:after="120"/>
        <w:rPr>
          <w:rFonts w:ascii="Arial" w:hAnsi="Arial" w:cs="Arial"/>
          <w:b/>
          <w:sz w:val="24"/>
          <w:szCs w:val="24"/>
        </w:rPr>
      </w:pPr>
      <w:r w:rsidRPr="00EB068F">
        <w:rPr>
          <w:rFonts w:ascii="Arial" w:hAnsi="Arial" w:cs="Arial"/>
          <w:b/>
          <w:sz w:val="24"/>
          <w:szCs w:val="24"/>
        </w:rPr>
        <w:t>UPDATE OF INITIAL STATEMENT OF REASONS AND INFORMATIVE DIGEST</w:t>
      </w:r>
    </w:p>
    <w:p w14:paraId="3645E9AE" w14:textId="77777777" w:rsidR="001529B1" w:rsidRDefault="00EB068F" w:rsidP="00FC75FB">
      <w:pPr>
        <w:widowControl/>
        <w:spacing w:after="360"/>
        <w:rPr>
          <w:rFonts w:ascii="Arial" w:hAnsi="Arial" w:cs="Arial"/>
          <w:sz w:val="24"/>
          <w:szCs w:val="24"/>
        </w:rPr>
      </w:pPr>
      <w:r w:rsidRPr="00EB068F">
        <w:rPr>
          <w:rFonts w:ascii="Arial" w:hAnsi="Arial" w:cs="Arial"/>
          <w:sz w:val="24"/>
          <w:szCs w:val="24"/>
        </w:rPr>
        <w:t>As authorized by Government Code §11346.9(d), the Administrative Director hereby incorporates by reference the entire Initial Statement of Reasons</w:t>
      </w:r>
      <w:r w:rsidR="00884B50">
        <w:rPr>
          <w:rFonts w:ascii="Arial" w:hAnsi="Arial" w:cs="Arial"/>
          <w:sz w:val="24"/>
          <w:szCs w:val="24"/>
        </w:rPr>
        <w:t xml:space="preserve">, </w:t>
      </w:r>
      <w:r w:rsidR="00444D97">
        <w:rPr>
          <w:rFonts w:ascii="Arial" w:hAnsi="Arial" w:cs="Arial"/>
          <w:sz w:val="24"/>
          <w:szCs w:val="24"/>
        </w:rPr>
        <w:t>Addendum to the Initial Statement of Reasons</w:t>
      </w:r>
      <w:r w:rsidR="00884B50">
        <w:rPr>
          <w:rFonts w:ascii="Arial" w:hAnsi="Arial" w:cs="Arial"/>
          <w:sz w:val="24"/>
          <w:szCs w:val="24"/>
        </w:rPr>
        <w:t xml:space="preserve"> and the Final Statement of Reasons </w:t>
      </w:r>
      <w:r w:rsidRPr="00EB068F">
        <w:rPr>
          <w:rFonts w:ascii="Arial" w:hAnsi="Arial" w:cs="Arial"/>
          <w:sz w:val="24"/>
          <w:szCs w:val="24"/>
        </w:rPr>
        <w:t xml:space="preserve"> prepared in this matter. Unless a specific basis is stated below for any</w:t>
      </w:r>
      <w:r w:rsidR="00331A53">
        <w:rPr>
          <w:rFonts w:ascii="Arial" w:hAnsi="Arial" w:cs="Arial"/>
          <w:sz w:val="24"/>
          <w:szCs w:val="24"/>
        </w:rPr>
        <w:t xml:space="preserve"> modification to the regulation</w:t>
      </w:r>
      <w:r w:rsidRPr="00EB068F">
        <w:rPr>
          <w:rFonts w:ascii="Arial" w:hAnsi="Arial" w:cs="Arial"/>
          <w:sz w:val="24"/>
          <w:szCs w:val="24"/>
        </w:rPr>
        <w:t xml:space="preserve"> as initially proposed, the necessity for the am</w:t>
      </w:r>
      <w:r w:rsidR="00331A53">
        <w:rPr>
          <w:rFonts w:ascii="Arial" w:hAnsi="Arial" w:cs="Arial"/>
          <w:sz w:val="24"/>
          <w:szCs w:val="24"/>
        </w:rPr>
        <w:t>endments to existing regulation</w:t>
      </w:r>
      <w:r w:rsidRPr="00EB068F">
        <w:rPr>
          <w:rFonts w:ascii="Arial" w:hAnsi="Arial" w:cs="Arial"/>
          <w:sz w:val="24"/>
          <w:szCs w:val="24"/>
        </w:rPr>
        <w:t xml:space="preserve"> and for the adoption of </w:t>
      </w:r>
      <w:r w:rsidR="00331A53">
        <w:rPr>
          <w:rFonts w:ascii="Arial" w:hAnsi="Arial" w:cs="Arial"/>
          <w:sz w:val="24"/>
          <w:szCs w:val="24"/>
        </w:rPr>
        <w:t>a new regulation</w:t>
      </w:r>
      <w:r w:rsidRPr="00EB068F">
        <w:rPr>
          <w:rFonts w:ascii="Arial" w:hAnsi="Arial" w:cs="Arial"/>
          <w:sz w:val="24"/>
          <w:szCs w:val="24"/>
        </w:rPr>
        <w:t xml:space="preserve"> as set forth in the Initial Statement of Reasons conti</w:t>
      </w:r>
      <w:r w:rsidR="00331A53">
        <w:rPr>
          <w:rFonts w:ascii="Arial" w:hAnsi="Arial" w:cs="Arial"/>
          <w:sz w:val="24"/>
          <w:szCs w:val="24"/>
        </w:rPr>
        <w:t>nues to apply to the regulation</w:t>
      </w:r>
      <w:r w:rsidRPr="00EB068F">
        <w:rPr>
          <w:rFonts w:ascii="Arial" w:hAnsi="Arial" w:cs="Arial"/>
          <w:sz w:val="24"/>
          <w:szCs w:val="24"/>
        </w:rPr>
        <w:t xml:space="preserve"> as now adopted. </w:t>
      </w:r>
    </w:p>
    <w:p w14:paraId="3322795D" w14:textId="77777777" w:rsidR="001529B1" w:rsidRDefault="001529B1" w:rsidP="00FC75FB">
      <w:pPr>
        <w:widowControl/>
        <w:spacing w:after="360"/>
        <w:rPr>
          <w:rFonts w:ascii="Arial" w:hAnsi="Arial" w:cs="Arial"/>
          <w:sz w:val="24"/>
          <w:szCs w:val="24"/>
        </w:rPr>
      </w:pPr>
      <w:r>
        <w:rPr>
          <w:rFonts w:ascii="Arial" w:hAnsi="Arial" w:cs="Arial"/>
          <w:sz w:val="24"/>
          <w:szCs w:val="24"/>
        </w:rPr>
        <w:t xml:space="preserve">The following </w:t>
      </w:r>
      <w:r w:rsidR="00884B50">
        <w:rPr>
          <w:rFonts w:ascii="Arial" w:hAnsi="Arial" w:cs="Arial"/>
          <w:sz w:val="24"/>
          <w:szCs w:val="24"/>
        </w:rPr>
        <w:t>purpose and necessity is added to the following section</w:t>
      </w:r>
      <w:r>
        <w:rPr>
          <w:rFonts w:ascii="Arial" w:hAnsi="Arial" w:cs="Arial"/>
          <w:sz w:val="24"/>
          <w:szCs w:val="24"/>
        </w:rPr>
        <w:t>:</w:t>
      </w:r>
    </w:p>
    <w:p w14:paraId="4C96A8F8" w14:textId="77777777" w:rsidR="00783C81" w:rsidRDefault="00783C81" w:rsidP="00FC75FB">
      <w:pPr>
        <w:spacing w:after="360"/>
        <w:rPr>
          <w:rFonts w:ascii="Arial" w:hAnsi="Arial" w:cs="Arial"/>
          <w:sz w:val="24"/>
          <w:szCs w:val="24"/>
          <w:lang w:val="en"/>
        </w:rPr>
      </w:pPr>
      <w:r w:rsidRPr="00783C81">
        <w:rPr>
          <w:rFonts w:ascii="Arial" w:hAnsi="Arial" w:cs="Arial"/>
          <w:b/>
          <w:sz w:val="24"/>
          <w:szCs w:val="24"/>
          <w:lang w:val="en"/>
        </w:rPr>
        <w:t>Section(d)</w:t>
      </w:r>
      <w:r>
        <w:rPr>
          <w:rFonts w:ascii="Arial" w:hAnsi="Arial" w:cs="Arial"/>
          <w:sz w:val="24"/>
          <w:szCs w:val="24"/>
          <w:lang w:val="en"/>
        </w:rPr>
        <w:t xml:space="preserve"> provides that the affidavit of Proof of Electronic Service shall be signed under penalty of perjury under the law of the State of California. </w:t>
      </w:r>
    </w:p>
    <w:p w14:paraId="4ADD172C" w14:textId="77777777" w:rsidR="001529B1" w:rsidRPr="00FC75FB" w:rsidRDefault="001529B1" w:rsidP="00FC75FB">
      <w:pPr>
        <w:widowControl/>
        <w:spacing w:after="360"/>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1ECECE19" w14:textId="77777777" w:rsidR="001529B1" w:rsidRPr="00B801B7" w:rsidRDefault="001529B1" w:rsidP="00FC75FB">
      <w:pPr>
        <w:widowControl/>
        <w:spacing w:after="360"/>
        <w:rPr>
          <w:rFonts w:ascii="Arial" w:hAnsi="Arial" w:cs="Arial"/>
          <w:color w:val="000000"/>
          <w:sz w:val="24"/>
          <w:szCs w:val="24"/>
        </w:rPr>
      </w:pPr>
      <w:r>
        <w:rPr>
          <w:rFonts w:ascii="Arial" w:hAnsi="Arial" w:cs="Arial"/>
          <w:color w:val="000000"/>
          <w:sz w:val="24"/>
          <w:szCs w:val="24"/>
        </w:rPr>
        <w:t>To provide</w:t>
      </w:r>
      <w:r w:rsidR="00783C81">
        <w:rPr>
          <w:rFonts w:ascii="Arial" w:hAnsi="Arial" w:cs="Arial"/>
          <w:color w:val="000000"/>
          <w:sz w:val="24"/>
          <w:szCs w:val="24"/>
        </w:rPr>
        <w:t xml:space="preserve"> evidence of the information and parties that are served.  To provide the court with a witness if there is a dispute as to the documents and parties served. </w:t>
      </w:r>
    </w:p>
    <w:p w14:paraId="7EC56A1F" w14:textId="77777777" w:rsidR="001529B1" w:rsidRDefault="001529B1" w:rsidP="00FC75FB">
      <w:pPr>
        <w:widowControl/>
        <w:autoSpaceDE/>
        <w:autoSpaceDN/>
        <w:adjustRightInd/>
        <w:spacing w:after="36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76852DAE" w14:textId="77777777" w:rsidR="00884B50" w:rsidRDefault="00783C81" w:rsidP="00FC75FB">
      <w:pPr>
        <w:widowControl/>
        <w:spacing w:after="360"/>
        <w:rPr>
          <w:rFonts w:ascii="Arial" w:hAnsi="Arial" w:cs="Arial"/>
          <w:sz w:val="24"/>
        </w:rPr>
      </w:pPr>
      <w:r>
        <w:rPr>
          <w:rFonts w:ascii="Arial" w:hAnsi="Arial" w:cs="Arial"/>
          <w:sz w:val="24"/>
        </w:rPr>
        <w:t>To ensure that do</w:t>
      </w:r>
      <w:r w:rsidR="00884B50">
        <w:rPr>
          <w:rFonts w:ascii="Arial" w:hAnsi="Arial" w:cs="Arial"/>
          <w:sz w:val="24"/>
        </w:rPr>
        <w:t>cuments are properly maintain and e</w:t>
      </w:r>
      <w:r>
        <w:rPr>
          <w:rFonts w:ascii="Arial" w:hAnsi="Arial" w:cs="Arial"/>
          <w:sz w:val="24"/>
        </w:rPr>
        <w:t>nsure quality of transmission</w:t>
      </w:r>
    </w:p>
    <w:p w14:paraId="6E366751" w14:textId="77777777" w:rsidR="00783C81" w:rsidRDefault="00783C81" w:rsidP="00FC75FB">
      <w:pPr>
        <w:widowControl/>
        <w:autoSpaceDE/>
        <w:autoSpaceDN/>
        <w:adjustRightInd/>
        <w:spacing w:after="360"/>
        <w:rPr>
          <w:rFonts w:ascii="Arial" w:hAnsi="Arial" w:cs="Arial"/>
          <w:sz w:val="24"/>
          <w:u w:val="single"/>
        </w:rPr>
      </w:pPr>
      <w:r w:rsidRPr="00783C81">
        <w:rPr>
          <w:rFonts w:ascii="Arial" w:hAnsi="Arial" w:cs="Arial"/>
          <w:sz w:val="24"/>
          <w:u w:val="single"/>
        </w:rPr>
        <w:lastRenderedPageBreak/>
        <w:t xml:space="preserve">Consideration of Alternatives:  </w:t>
      </w:r>
    </w:p>
    <w:p w14:paraId="3826790D" w14:textId="77777777" w:rsidR="00783C81" w:rsidRPr="00FC75FB" w:rsidRDefault="00884B50" w:rsidP="00FC75FB">
      <w:pPr>
        <w:widowControl/>
        <w:rPr>
          <w:rFonts w:ascii="Arial" w:hAnsi="Arial" w:cs="Arial"/>
          <w:sz w:val="24"/>
          <w:szCs w:val="24"/>
        </w:rPr>
      </w:pPr>
      <w:r>
        <w:rPr>
          <w:rFonts w:ascii="Arial" w:hAnsi="Arial" w:cs="Arial"/>
          <w:color w:val="000000"/>
          <w:sz w:val="24"/>
          <w:szCs w:val="24"/>
        </w:rPr>
        <w:t xml:space="preserve">No alternative was proposed.  </w:t>
      </w:r>
      <w:r w:rsidR="00783C81">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equally and effective in implementing the statutory policy or other provisions of the law. </w:t>
      </w:r>
    </w:p>
    <w:sectPr w:rsidR="00783C81" w:rsidRPr="00FC75FB" w:rsidSect="00DC689B">
      <w:footerReference w:type="default" r:id="rId8"/>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4245" w14:textId="77777777" w:rsidR="0011149E" w:rsidRDefault="0011149E">
      <w:r>
        <w:separator/>
      </w:r>
    </w:p>
  </w:endnote>
  <w:endnote w:type="continuationSeparator" w:id="0">
    <w:p w14:paraId="6AEE969A" w14:textId="77777777" w:rsidR="0011149E" w:rsidRDefault="0011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6E2B" w14:textId="77777777" w:rsidR="00BE66BE" w:rsidRPr="00BE66BE" w:rsidRDefault="00884B50" w:rsidP="00BE66BE">
    <w:pPr>
      <w:pStyle w:val="Footer"/>
      <w:rPr>
        <w:rFonts w:ascii="Times New Roman" w:hAnsi="Times New Roman" w:cs="Times New Roman"/>
      </w:rPr>
    </w:pPr>
    <w:r>
      <w:rPr>
        <w:rFonts w:ascii="Times New Roman" w:hAnsi="Times New Roman" w:cs="Times New Roman"/>
      </w:rPr>
      <w:t xml:space="preserve">Addendum </w:t>
    </w:r>
    <w:r w:rsidR="007057C7">
      <w:rPr>
        <w:rFonts w:ascii="Times New Roman" w:hAnsi="Times New Roman" w:cs="Times New Roman"/>
      </w:rPr>
      <w:t>Final</w:t>
    </w:r>
    <w:r w:rsidR="00BE66BE" w:rsidRPr="00BE66BE">
      <w:rPr>
        <w:rFonts w:ascii="Times New Roman" w:hAnsi="Times New Roman" w:cs="Times New Roman"/>
      </w:rPr>
      <w:t xml:space="preserve"> Statement of Reasons – </w:t>
    </w:r>
    <w:r w:rsidR="00BE66BE">
      <w:rPr>
        <w:rFonts w:ascii="Times New Roman" w:hAnsi="Times New Roman" w:cs="Times New Roman"/>
      </w:rPr>
      <w:t xml:space="preserve">QME </w:t>
    </w:r>
    <w:r w:rsidR="001A49A2">
      <w:rPr>
        <w:rFonts w:ascii="Times New Roman" w:hAnsi="Times New Roman" w:cs="Times New Roman"/>
      </w:rPr>
      <w:t>36.7 Regulation</w:t>
    </w:r>
    <w:r>
      <w:rPr>
        <w:rFonts w:ascii="Times New Roman" w:hAnsi="Times New Roman" w:cs="Times New Roman"/>
      </w:rPr>
      <w:t xml:space="preserve"> – April 2022</w:t>
    </w:r>
    <w:r w:rsidR="00BE66BE">
      <w:rPr>
        <w:rFonts w:ascii="Times New Roman" w:hAnsi="Times New Roman" w:cs="Times New Roman"/>
      </w:rPr>
      <w:tab/>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sidRPr="00BE66BE">
      <w:rPr>
        <w:rFonts w:ascii="Times New Roman" w:hAnsi="Times New Roman" w:cs="Times New Roman"/>
      </w:rPr>
      <w:fldChar w:fldCharType="begin"/>
    </w:r>
    <w:r w:rsidR="00BE66BE" w:rsidRPr="00BE66BE">
      <w:rPr>
        <w:rFonts w:ascii="Times New Roman" w:hAnsi="Times New Roman" w:cs="Times New Roman"/>
      </w:rPr>
      <w:instrText xml:space="preserve"> PAGE   \* MERGEFORMAT </w:instrText>
    </w:r>
    <w:r w:rsidR="00BE66BE" w:rsidRPr="00BE66BE">
      <w:rPr>
        <w:rFonts w:ascii="Times New Roman" w:hAnsi="Times New Roman" w:cs="Times New Roman"/>
      </w:rPr>
      <w:fldChar w:fldCharType="separate"/>
    </w:r>
    <w:r w:rsidR="00FC75FB">
      <w:rPr>
        <w:rFonts w:ascii="Times New Roman" w:hAnsi="Times New Roman" w:cs="Times New Roman"/>
        <w:noProof/>
      </w:rPr>
      <w:t>1</w:t>
    </w:r>
    <w:r w:rsidR="00BE66BE" w:rsidRPr="00BE66BE">
      <w:rPr>
        <w:rFonts w:ascii="Times New Roman" w:hAnsi="Times New Roman" w:cs="Times New Roman"/>
        <w:noProof/>
      </w:rPr>
      <w:fldChar w:fldCharType="end"/>
    </w:r>
    <w:r w:rsidR="00BE66BE">
      <w:rPr>
        <w:rFonts w:ascii="Times New Roman" w:hAnsi="Times New Roman" w:cs="Times New Roman"/>
        <w:noProof/>
      </w:rPr>
      <w:t xml:space="preserve">  </w:t>
    </w:r>
    <w:r w:rsidR="00BE66BE" w:rsidRPr="00BE66BE">
      <w:rPr>
        <w:rFonts w:ascii="Times New Roman" w:hAnsi="Times New Roman" w:cs="Times New Roman"/>
      </w:rPr>
      <w:t xml:space="preserve"> </w:t>
    </w:r>
  </w:p>
  <w:p w14:paraId="4E864894" w14:textId="77777777" w:rsidR="00884B50" w:rsidRDefault="0088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7AB4" w14:textId="77777777" w:rsidR="0011149E" w:rsidRDefault="0011149E">
      <w:r>
        <w:separator/>
      </w:r>
    </w:p>
  </w:footnote>
  <w:footnote w:type="continuationSeparator" w:id="0">
    <w:p w14:paraId="4ECE88DD" w14:textId="77777777" w:rsidR="0011149E" w:rsidRDefault="00111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41349247">
    <w:abstractNumId w:val="2"/>
  </w:num>
  <w:num w:numId="2" w16cid:durableId="1224826642">
    <w:abstractNumId w:val="0"/>
  </w:num>
  <w:num w:numId="3" w16cid:durableId="173277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1D"/>
    <w:rsid w:val="00026903"/>
    <w:rsid w:val="000306A3"/>
    <w:rsid w:val="000C22F7"/>
    <w:rsid w:val="000C6094"/>
    <w:rsid w:val="0011149E"/>
    <w:rsid w:val="001275F4"/>
    <w:rsid w:val="00131CF6"/>
    <w:rsid w:val="001332EC"/>
    <w:rsid w:val="00135C57"/>
    <w:rsid w:val="001450FB"/>
    <w:rsid w:val="001529B1"/>
    <w:rsid w:val="001A49A2"/>
    <w:rsid w:val="001B49DC"/>
    <w:rsid w:val="001B762A"/>
    <w:rsid w:val="001C1594"/>
    <w:rsid w:val="001E06BD"/>
    <w:rsid w:val="001F0033"/>
    <w:rsid w:val="0020414F"/>
    <w:rsid w:val="002048B3"/>
    <w:rsid w:val="00211304"/>
    <w:rsid w:val="0024752E"/>
    <w:rsid w:val="002A205F"/>
    <w:rsid w:val="002A3E4E"/>
    <w:rsid w:val="002D1E8B"/>
    <w:rsid w:val="002D5509"/>
    <w:rsid w:val="002E31CE"/>
    <w:rsid w:val="00331A53"/>
    <w:rsid w:val="00361449"/>
    <w:rsid w:val="00370A47"/>
    <w:rsid w:val="00372152"/>
    <w:rsid w:val="00376FEB"/>
    <w:rsid w:val="003919F4"/>
    <w:rsid w:val="003B6F3A"/>
    <w:rsid w:val="003C367C"/>
    <w:rsid w:val="003C6CA2"/>
    <w:rsid w:val="003D16B4"/>
    <w:rsid w:val="003E75EA"/>
    <w:rsid w:val="0041219E"/>
    <w:rsid w:val="0041466C"/>
    <w:rsid w:val="004161EE"/>
    <w:rsid w:val="00427A0B"/>
    <w:rsid w:val="00444D97"/>
    <w:rsid w:val="00462111"/>
    <w:rsid w:val="00465B9E"/>
    <w:rsid w:val="00475292"/>
    <w:rsid w:val="00492A5C"/>
    <w:rsid w:val="0049786D"/>
    <w:rsid w:val="004B73A9"/>
    <w:rsid w:val="004C1E58"/>
    <w:rsid w:val="004E2959"/>
    <w:rsid w:val="005575C4"/>
    <w:rsid w:val="00585D32"/>
    <w:rsid w:val="005A2F37"/>
    <w:rsid w:val="005B55AA"/>
    <w:rsid w:val="005C134D"/>
    <w:rsid w:val="005F02AF"/>
    <w:rsid w:val="00606FAC"/>
    <w:rsid w:val="00610FFF"/>
    <w:rsid w:val="006215D9"/>
    <w:rsid w:val="0063780F"/>
    <w:rsid w:val="00641205"/>
    <w:rsid w:val="00647952"/>
    <w:rsid w:val="006832A3"/>
    <w:rsid w:val="00693999"/>
    <w:rsid w:val="006C4813"/>
    <w:rsid w:val="006C620F"/>
    <w:rsid w:val="006F628C"/>
    <w:rsid w:val="007057C7"/>
    <w:rsid w:val="007113FD"/>
    <w:rsid w:val="00726F9E"/>
    <w:rsid w:val="00744045"/>
    <w:rsid w:val="00755BF7"/>
    <w:rsid w:val="00783C81"/>
    <w:rsid w:val="00784F73"/>
    <w:rsid w:val="007B2C36"/>
    <w:rsid w:val="007F392D"/>
    <w:rsid w:val="007F6D7F"/>
    <w:rsid w:val="00826AA7"/>
    <w:rsid w:val="0087540D"/>
    <w:rsid w:val="00880AC1"/>
    <w:rsid w:val="00884B50"/>
    <w:rsid w:val="008B4643"/>
    <w:rsid w:val="008C3031"/>
    <w:rsid w:val="008E740F"/>
    <w:rsid w:val="009012C4"/>
    <w:rsid w:val="0093469A"/>
    <w:rsid w:val="00944384"/>
    <w:rsid w:val="00944F1D"/>
    <w:rsid w:val="009467EF"/>
    <w:rsid w:val="00985E0A"/>
    <w:rsid w:val="00986E23"/>
    <w:rsid w:val="009F1A02"/>
    <w:rsid w:val="00A06F7C"/>
    <w:rsid w:val="00A55723"/>
    <w:rsid w:val="00AE4C5F"/>
    <w:rsid w:val="00AF5455"/>
    <w:rsid w:val="00B041A9"/>
    <w:rsid w:val="00B14620"/>
    <w:rsid w:val="00B52E38"/>
    <w:rsid w:val="00B5318F"/>
    <w:rsid w:val="00BC1910"/>
    <w:rsid w:val="00BE66BE"/>
    <w:rsid w:val="00BF2AFE"/>
    <w:rsid w:val="00C05CCC"/>
    <w:rsid w:val="00C53F8C"/>
    <w:rsid w:val="00C66DC1"/>
    <w:rsid w:val="00C73309"/>
    <w:rsid w:val="00C927F9"/>
    <w:rsid w:val="00CA4CCE"/>
    <w:rsid w:val="00CA7E0B"/>
    <w:rsid w:val="00CB1069"/>
    <w:rsid w:val="00CD1865"/>
    <w:rsid w:val="00D11D61"/>
    <w:rsid w:val="00D13318"/>
    <w:rsid w:val="00D15F66"/>
    <w:rsid w:val="00D22290"/>
    <w:rsid w:val="00D25EAC"/>
    <w:rsid w:val="00D33FF3"/>
    <w:rsid w:val="00D57699"/>
    <w:rsid w:val="00D75384"/>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B068F"/>
    <w:rsid w:val="00ED2A93"/>
    <w:rsid w:val="00ED703B"/>
    <w:rsid w:val="00EE33EF"/>
    <w:rsid w:val="00EF1097"/>
    <w:rsid w:val="00F049BA"/>
    <w:rsid w:val="00F05EFF"/>
    <w:rsid w:val="00F11580"/>
    <w:rsid w:val="00F17D43"/>
    <w:rsid w:val="00F55838"/>
    <w:rsid w:val="00F61502"/>
    <w:rsid w:val="00F632DA"/>
    <w:rsid w:val="00F74047"/>
    <w:rsid w:val="00FA5FFD"/>
    <w:rsid w:val="00FB0E7E"/>
    <w:rsid w:val="00FC75FB"/>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62617"/>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8B5C-47E9-4DB8-BE70-E0752F26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Ellen Langille</cp:lastModifiedBy>
  <cp:revision>2</cp:revision>
  <cp:lastPrinted>2007-09-11T19:44:00Z</cp:lastPrinted>
  <dcterms:created xsi:type="dcterms:W3CDTF">2022-04-13T18:15:00Z</dcterms:created>
  <dcterms:modified xsi:type="dcterms:W3CDTF">2022-04-13T18:15:00Z</dcterms:modified>
</cp:coreProperties>
</file>