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750E" w14:textId="77777777" w:rsidR="00DB2450" w:rsidRPr="00A426B4" w:rsidRDefault="00DB2450" w:rsidP="00A426B4">
      <w:pPr>
        <w:pStyle w:val="Heading1"/>
      </w:pPr>
      <w:r w:rsidRPr="00A426B4">
        <w:t>STATE OF CALIFORNIA</w:t>
      </w:r>
      <w:r w:rsidR="00C86DE0" w:rsidRPr="00A426B4">
        <w:br/>
      </w:r>
      <w:r w:rsidRPr="00A426B4">
        <w:t>DEPARTMENT OF INDUSTRIAL RELATIONS</w:t>
      </w:r>
    </w:p>
    <w:p w14:paraId="56DF4B17" w14:textId="77777777" w:rsidR="00DB2450" w:rsidRPr="00A426B4" w:rsidRDefault="00DB2450" w:rsidP="00A426B4">
      <w:pPr>
        <w:pStyle w:val="Heading1"/>
      </w:pPr>
      <w:r w:rsidRPr="00A426B4">
        <w:t>WORKERS’ COMPENSATION APPEALS BOARD</w:t>
      </w:r>
    </w:p>
    <w:p w14:paraId="4F508340" w14:textId="77777777" w:rsidR="00DB2450" w:rsidRPr="00A426B4" w:rsidRDefault="00DB2450" w:rsidP="00A426B4">
      <w:pPr>
        <w:pStyle w:val="Heading1"/>
      </w:pPr>
    </w:p>
    <w:p w14:paraId="5EC81C8B" w14:textId="77777777" w:rsidR="00DB2450" w:rsidRPr="00A426B4" w:rsidRDefault="00DB2450" w:rsidP="00A426B4">
      <w:pPr>
        <w:pStyle w:val="Heading1"/>
      </w:pPr>
      <w:bookmarkStart w:id="0" w:name="InitialStatementOfReasons"/>
      <w:r w:rsidRPr="00A426B4">
        <w:t>INITIAL STATEMENT OF REASONS</w:t>
      </w:r>
    </w:p>
    <w:bookmarkEnd w:id="0"/>
    <w:p w14:paraId="3DFBE8B9" w14:textId="77777777" w:rsidR="00DB2450" w:rsidRPr="00977B91" w:rsidRDefault="00DB2450" w:rsidP="00DB2450">
      <w:pPr>
        <w:jc w:val="center"/>
        <w:rPr>
          <w:rFonts w:ascii="Palatino Linotype" w:hAnsi="Palatino Linotype"/>
          <w:sz w:val="20"/>
          <w:szCs w:val="20"/>
        </w:rPr>
      </w:pPr>
    </w:p>
    <w:p w14:paraId="041BCE16" w14:textId="77777777" w:rsidR="00DB2450" w:rsidRPr="00A426B4" w:rsidRDefault="00DB2450" w:rsidP="00A426B4">
      <w:pPr>
        <w:pStyle w:val="Heading2"/>
        <w:rPr>
          <w:i w:val="0"/>
        </w:rPr>
      </w:pPr>
      <w:r w:rsidRPr="00A426B4">
        <w:rPr>
          <w:i w:val="0"/>
        </w:rPr>
        <w:t>Subject Matter of Proposed Regulations:</w:t>
      </w:r>
    </w:p>
    <w:p w14:paraId="39BDE368" w14:textId="77777777" w:rsidR="00DB2450" w:rsidRPr="00A426B4" w:rsidRDefault="00DB2450" w:rsidP="00A426B4">
      <w:pPr>
        <w:pStyle w:val="Heading2"/>
        <w:rPr>
          <w:i w:val="0"/>
        </w:rPr>
      </w:pPr>
      <w:r w:rsidRPr="00A426B4">
        <w:rPr>
          <w:i w:val="0"/>
        </w:rPr>
        <w:t>Rules of Practice and Procedure of the Workers’ Compensation Appeals Board</w:t>
      </w:r>
    </w:p>
    <w:p w14:paraId="44C9D636" w14:textId="77777777" w:rsidR="00DB2450" w:rsidRPr="00A426B4" w:rsidRDefault="00DB2450" w:rsidP="00A426B4">
      <w:pPr>
        <w:pStyle w:val="Heading3"/>
        <w:spacing w:before="240"/>
        <w:rPr>
          <w:b/>
          <w:i w:val="0"/>
        </w:rPr>
      </w:pPr>
      <w:bookmarkStart w:id="1" w:name="BackgroundForRulemaking"/>
      <w:r w:rsidRPr="00A426B4">
        <w:rPr>
          <w:b/>
          <w:i w:val="0"/>
        </w:rPr>
        <w:t>BACKGROUND</w:t>
      </w:r>
      <w:bookmarkEnd w:id="1"/>
      <w:r w:rsidRPr="00A426B4">
        <w:rPr>
          <w:b/>
          <w:i w:val="0"/>
        </w:rPr>
        <w:t>:</w:t>
      </w:r>
    </w:p>
    <w:p w14:paraId="0E2BAFC2" w14:textId="77777777" w:rsidR="00DB2450" w:rsidRPr="00977B91" w:rsidRDefault="00DB2450" w:rsidP="00DB2450">
      <w:pPr>
        <w:tabs>
          <w:tab w:val="left" w:pos="270"/>
        </w:tabs>
        <w:jc w:val="both"/>
        <w:rPr>
          <w:rFonts w:ascii="Palatino Linotype" w:hAnsi="Palatino Linotype"/>
          <w:sz w:val="20"/>
          <w:szCs w:val="20"/>
        </w:rPr>
      </w:pPr>
      <w:r w:rsidRPr="00977B91">
        <w:rPr>
          <w:rFonts w:ascii="Palatino Linotype" w:hAnsi="Palatino Linotype"/>
          <w:sz w:val="20"/>
          <w:szCs w:val="20"/>
        </w:rPr>
        <w:t xml:space="preserve">The Workers’ Compensation Appeals Board (WCAB) proposes to amend </w:t>
      </w:r>
      <w:r w:rsidR="00FC6000">
        <w:rPr>
          <w:rFonts w:ascii="Palatino Linotype" w:hAnsi="Palatino Linotype"/>
          <w:sz w:val="20"/>
          <w:szCs w:val="20"/>
        </w:rPr>
        <w:t xml:space="preserve">several of </w:t>
      </w:r>
      <w:r w:rsidRPr="00977B91">
        <w:rPr>
          <w:rFonts w:ascii="Palatino Linotype" w:hAnsi="Palatino Linotype"/>
          <w:sz w:val="20"/>
          <w:szCs w:val="20"/>
        </w:rPr>
        <w:t>its Rules of Practice and Procedure (Rules)</w:t>
      </w:r>
      <w:r w:rsidR="00FC6000">
        <w:rPr>
          <w:rFonts w:ascii="Palatino Linotype" w:hAnsi="Palatino Linotype"/>
          <w:sz w:val="20"/>
          <w:szCs w:val="20"/>
        </w:rPr>
        <w:t xml:space="preserve"> effective January 1, 2022</w:t>
      </w:r>
      <w:r w:rsidRPr="00977B91">
        <w:rPr>
          <w:rFonts w:ascii="Palatino Linotype" w:hAnsi="Palatino Linotype"/>
          <w:sz w:val="20"/>
          <w:szCs w:val="20"/>
        </w:rPr>
        <w:t>.</w:t>
      </w:r>
      <w:r w:rsidRPr="0060796D">
        <w:rPr>
          <w:rStyle w:val="FootnoteReference"/>
          <w:rFonts w:ascii="Palatino Linotype" w:hAnsi="Palatino Linotype"/>
          <w:sz w:val="20"/>
          <w:szCs w:val="20"/>
          <w:vertAlign w:val="superscript"/>
        </w:rPr>
        <w:footnoteReference w:id="1"/>
      </w:r>
      <w:r w:rsidRPr="00977B91">
        <w:rPr>
          <w:rFonts w:ascii="Palatino Linotype" w:hAnsi="Palatino Linotype"/>
          <w:sz w:val="20"/>
          <w:szCs w:val="20"/>
        </w:rPr>
        <w:t xml:space="preserve">  </w:t>
      </w:r>
      <w:bookmarkStart w:id="2" w:name="ReturnInst1"/>
      <w:r w:rsidRPr="00977B91">
        <w:rPr>
          <w:rFonts w:ascii="Palatino Linotype" w:hAnsi="Palatino Linotype"/>
          <w:sz w:val="20"/>
          <w:szCs w:val="20"/>
        </w:rPr>
        <w:t xml:space="preserve">These </w:t>
      </w:r>
      <w:bookmarkEnd w:id="2"/>
      <w:r w:rsidRPr="00977B91">
        <w:rPr>
          <w:rFonts w:ascii="Palatino Linotype" w:hAnsi="Palatino Linotype"/>
          <w:sz w:val="20"/>
          <w:szCs w:val="20"/>
        </w:rPr>
        <w:t>proposed amendments are being initiated pursuant to the WCAB’s rulemaking power under Labor Code sections 5307(a), 133, 5309 and 5708,</w:t>
      </w:r>
      <w:r w:rsidRPr="0060796D">
        <w:rPr>
          <w:rStyle w:val="FootnoteReference"/>
          <w:rFonts w:ascii="Palatino Linotype" w:hAnsi="Palatino Linotype"/>
          <w:sz w:val="20"/>
          <w:szCs w:val="20"/>
          <w:vertAlign w:val="superscript"/>
        </w:rPr>
        <w:footnoteReference w:id="2"/>
      </w:r>
      <w:r w:rsidRPr="00977B91">
        <w:rPr>
          <w:rFonts w:ascii="Palatino Linotype" w:hAnsi="Palatino Linotype"/>
          <w:sz w:val="20"/>
          <w:szCs w:val="20"/>
        </w:rPr>
        <w:t xml:space="preserve"> </w:t>
      </w:r>
      <w:bookmarkStart w:id="3" w:name="ReturnInst2"/>
      <w:r w:rsidRPr="00977B91">
        <w:rPr>
          <w:rFonts w:ascii="Palatino Linotype" w:hAnsi="Palatino Linotype"/>
          <w:sz w:val="20"/>
          <w:szCs w:val="20"/>
        </w:rPr>
        <w:t xml:space="preserve">subject </w:t>
      </w:r>
      <w:bookmarkEnd w:id="3"/>
      <w:r w:rsidRPr="00977B91">
        <w:rPr>
          <w:rFonts w:ascii="Palatino Linotype" w:hAnsi="Palatino Linotype"/>
          <w:sz w:val="20"/>
          <w:szCs w:val="20"/>
        </w:rPr>
        <w:t>to the procedural requirements of section 5307.4.  This Initial Statement of Reasons and accompanying Notice of Proposed Rulemaking have been prepared to comply with the procedural requirements of section 5307.4 and for the convenience of the regulated public to assist it in analyzing and commenting on this largely non-APA rulemaking process.</w:t>
      </w:r>
      <w:r w:rsidRPr="0060796D">
        <w:rPr>
          <w:rStyle w:val="FootnoteReference"/>
          <w:rFonts w:ascii="Palatino Linotype" w:hAnsi="Palatino Linotype"/>
          <w:sz w:val="20"/>
          <w:szCs w:val="20"/>
          <w:vertAlign w:val="superscript"/>
        </w:rPr>
        <w:footnoteReference w:id="3"/>
      </w:r>
    </w:p>
    <w:p w14:paraId="3D026CA9" w14:textId="77777777" w:rsidR="00B71DB4" w:rsidRDefault="00B71DB4" w:rsidP="00434323">
      <w:pPr>
        <w:tabs>
          <w:tab w:val="left" w:pos="270"/>
        </w:tabs>
        <w:jc w:val="both"/>
        <w:rPr>
          <w:rFonts w:ascii="Palatino Linotype" w:hAnsi="Palatino Linotype"/>
          <w:sz w:val="20"/>
          <w:szCs w:val="20"/>
        </w:rPr>
      </w:pPr>
      <w:bookmarkStart w:id="4" w:name="ReturnInst3"/>
      <w:r w:rsidRPr="00CF0B47">
        <w:rPr>
          <w:rFonts w:ascii="Palatino Linotype" w:hAnsi="Palatino Linotype"/>
          <w:sz w:val="20"/>
          <w:szCs w:val="20"/>
        </w:rPr>
        <w:t xml:space="preserve">In </w:t>
      </w:r>
      <w:bookmarkEnd w:id="4"/>
      <w:r w:rsidRPr="00CF0B47">
        <w:rPr>
          <w:rFonts w:ascii="Palatino Linotype" w:hAnsi="Palatino Linotype"/>
          <w:sz w:val="20"/>
          <w:szCs w:val="20"/>
        </w:rPr>
        <w:t xml:space="preserve">March 2020, the WCAB transitioned to virtual operations at the beginning of the novel coronavirus pandemic, </w:t>
      </w:r>
      <w:r w:rsidR="00CF0B47" w:rsidRPr="00CF0B47">
        <w:rPr>
          <w:rFonts w:ascii="Palatino Linotype" w:hAnsi="Palatino Linotype"/>
          <w:sz w:val="20"/>
          <w:szCs w:val="20"/>
        </w:rPr>
        <w:t xml:space="preserve">which included </w:t>
      </w:r>
      <w:r w:rsidR="000819F2">
        <w:rPr>
          <w:rFonts w:ascii="Palatino Linotype" w:hAnsi="Palatino Linotype"/>
          <w:sz w:val="20"/>
          <w:szCs w:val="20"/>
        </w:rPr>
        <w:t>the adoption of electronic signatures, service, and filing of documents by the Appeals Board</w:t>
      </w:r>
      <w:r w:rsidR="000819F2" w:rsidRPr="00CF0B47">
        <w:rPr>
          <w:rFonts w:ascii="Palatino Linotype" w:hAnsi="Palatino Linotype"/>
          <w:sz w:val="20"/>
          <w:szCs w:val="20"/>
        </w:rPr>
        <w:t xml:space="preserve"> </w:t>
      </w:r>
      <w:r w:rsidR="000819F2">
        <w:rPr>
          <w:rFonts w:ascii="Palatino Linotype" w:hAnsi="Palatino Linotype"/>
          <w:sz w:val="20"/>
          <w:szCs w:val="20"/>
        </w:rPr>
        <w:t xml:space="preserve">as well as </w:t>
      </w:r>
      <w:r w:rsidR="00CF0B47" w:rsidRPr="00CF0B47">
        <w:rPr>
          <w:rFonts w:ascii="Palatino Linotype" w:hAnsi="Palatino Linotype"/>
          <w:sz w:val="20"/>
          <w:szCs w:val="20"/>
        </w:rPr>
        <w:t>the Division of Workers’ Compensation</w:t>
      </w:r>
      <w:r w:rsidR="000819F2">
        <w:rPr>
          <w:rFonts w:ascii="Palatino Linotype" w:hAnsi="Palatino Linotype"/>
          <w:sz w:val="20"/>
          <w:szCs w:val="20"/>
        </w:rPr>
        <w:t>’s transition</w:t>
      </w:r>
      <w:r w:rsidR="00CF0B47" w:rsidRPr="00CF0B47">
        <w:rPr>
          <w:rFonts w:ascii="Palatino Linotype" w:hAnsi="Palatino Linotype"/>
          <w:sz w:val="20"/>
          <w:szCs w:val="20"/>
        </w:rPr>
        <w:t xml:space="preserve"> to remote hearings conducted via telephone and video.  To facilitate these changes, the </w:t>
      </w:r>
      <w:r w:rsidRPr="00CF0B47">
        <w:rPr>
          <w:rFonts w:ascii="Palatino Linotype" w:hAnsi="Palatino Linotype"/>
          <w:sz w:val="20"/>
          <w:szCs w:val="20"/>
        </w:rPr>
        <w:t>Appeals Board suspended certain Rules.</w:t>
      </w:r>
      <w:r w:rsidRPr="0060796D">
        <w:rPr>
          <w:rStyle w:val="FootnoteReference"/>
          <w:rFonts w:ascii="Palatino Linotype" w:hAnsi="Palatino Linotype"/>
          <w:sz w:val="20"/>
          <w:szCs w:val="20"/>
          <w:vertAlign w:val="superscript"/>
        </w:rPr>
        <w:footnoteReference w:id="4"/>
      </w:r>
      <w:r w:rsidRPr="00CF0B47">
        <w:rPr>
          <w:rFonts w:ascii="Palatino Linotype" w:hAnsi="Palatino Linotype"/>
          <w:sz w:val="20"/>
          <w:szCs w:val="20"/>
        </w:rPr>
        <w:t xml:space="preserve">  </w:t>
      </w:r>
      <w:bookmarkStart w:id="5" w:name="ReturnInst4"/>
      <w:r w:rsidRPr="00CF0B47">
        <w:rPr>
          <w:rFonts w:ascii="Palatino Linotype" w:hAnsi="Palatino Linotype"/>
          <w:sz w:val="20"/>
          <w:szCs w:val="20"/>
        </w:rPr>
        <w:t xml:space="preserve">Remote </w:t>
      </w:r>
      <w:bookmarkEnd w:id="5"/>
      <w:r w:rsidRPr="00CF0B47">
        <w:rPr>
          <w:rFonts w:ascii="Palatino Linotype" w:hAnsi="Palatino Linotype"/>
          <w:sz w:val="20"/>
          <w:szCs w:val="20"/>
        </w:rPr>
        <w:t xml:space="preserve">proceedings and the availability of electronic communication, filing, and service have increased access to the workers’ compensation system for parties, their representatives, and the public. Based on the success of some of these innovations, the </w:t>
      </w:r>
      <w:r w:rsidR="000819F2">
        <w:rPr>
          <w:rFonts w:ascii="Palatino Linotype" w:hAnsi="Palatino Linotype"/>
          <w:sz w:val="20"/>
          <w:szCs w:val="20"/>
        </w:rPr>
        <w:t>Appeals Board</w:t>
      </w:r>
      <w:r w:rsidRPr="00CF0B47">
        <w:rPr>
          <w:rFonts w:ascii="Palatino Linotype" w:hAnsi="Palatino Linotype"/>
          <w:sz w:val="20"/>
          <w:szCs w:val="20"/>
        </w:rPr>
        <w:t xml:space="preserve"> has determined that </w:t>
      </w:r>
      <w:r w:rsidR="00CF0B47" w:rsidRPr="00CF0B47">
        <w:rPr>
          <w:rFonts w:ascii="Palatino Linotype" w:hAnsi="Palatino Linotype"/>
          <w:sz w:val="20"/>
          <w:szCs w:val="20"/>
        </w:rPr>
        <w:t xml:space="preserve">making these changes permanent would be </w:t>
      </w:r>
      <w:r w:rsidRPr="00CF0B47">
        <w:rPr>
          <w:rFonts w:ascii="Palatino Linotype" w:hAnsi="Palatino Linotype"/>
          <w:sz w:val="20"/>
          <w:szCs w:val="20"/>
        </w:rPr>
        <w:t xml:space="preserve">beneficial to the public and to the administration of the </w:t>
      </w:r>
      <w:r w:rsidR="00CF0B47" w:rsidRPr="00CF0B47">
        <w:rPr>
          <w:rFonts w:ascii="Palatino Linotype" w:hAnsi="Palatino Linotype"/>
          <w:sz w:val="20"/>
          <w:szCs w:val="20"/>
        </w:rPr>
        <w:t>workers’ compensation adjudicatory system</w:t>
      </w:r>
      <w:r w:rsidRPr="00CF0B47">
        <w:rPr>
          <w:rFonts w:ascii="Palatino Linotype" w:hAnsi="Palatino Linotype"/>
          <w:sz w:val="20"/>
          <w:szCs w:val="20"/>
        </w:rPr>
        <w:t>.</w:t>
      </w:r>
    </w:p>
    <w:p w14:paraId="210F584D" w14:textId="77777777" w:rsidR="00434323" w:rsidRDefault="00C7398F" w:rsidP="00434323">
      <w:pPr>
        <w:tabs>
          <w:tab w:val="left" w:pos="270"/>
        </w:tabs>
        <w:jc w:val="both"/>
        <w:rPr>
          <w:rFonts w:ascii="Palatino Linotype" w:hAnsi="Palatino Linotype"/>
          <w:sz w:val="20"/>
          <w:szCs w:val="20"/>
        </w:rPr>
      </w:pPr>
      <w:r w:rsidRPr="00977B91">
        <w:rPr>
          <w:rFonts w:ascii="Palatino Linotype" w:hAnsi="Palatino Linotype"/>
          <w:sz w:val="20"/>
          <w:szCs w:val="20"/>
        </w:rPr>
        <w:t>The primary purpose of this rulemaking is</w:t>
      </w:r>
      <w:r w:rsidR="00434323">
        <w:rPr>
          <w:rFonts w:ascii="Palatino Linotype" w:hAnsi="Palatino Linotype"/>
          <w:sz w:val="20"/>
          <w:szCs w:val="20"/>
        </w:rPr>
        <w:t xml:space="preserve"> to formalize the processes for the remote hearings, electronic filing, and electronic service that developed during the </w:t>
      </w:r>
      <w:r w:rsidR="001A3A68">
        <w:rPr>
          <w:rFonts w:ascii="Palatino Linotype" w:hAnsi="Palatino Linotype"/>
          <w:sz w:val="20"/>
          <w:szCs w:val="20"/>
        </w:rPr>
        <w:t>novel</w:t>
      </w:r>
      <w:r w:rsidR="00434323">
        <w:rPr>
          <w:rFonts w:ascii="Palatino Linotype" w:hAnsi="Palatino Linotype"/>
          <w:sz w:val="20"/>
          <w:szCs w:val="20"/>
        </w:rPr>
        <w:t xml:space="preserve"> coronavirus pandemic.  </w:t>
      </w:r>
      <w:r w:rsidR="002F73B6">
        <w:rPr>
          <w:rFonts w:ascii="Palatino Linotype" w:hAnsi="Palatino Linotype"/>
          <w:sz w:val="20"/>
          <w:szCs w:val="20"/>
        </w:rPr>
        <w:t xml:space="preserve">To this end, we propose adding several new rules to create processes for noticing and objecting to remote hearings, remote </w:t>
      </w:r>
      <w:r w:rsidR="002F73B6">
        <w:rPr>
          <w:rFonts w:ascii="Palatino Linotype" w:hAnsi="Palatino Linotype"/>
          <w:sz w:val="20"/>
          <w:szCs w:val="20"/>
        </w:rPr>
        <w:lastRenderedPageBreak/>
        <w:t xml:space="preserve">appearances, and remote witness testimony.  We also propose </w:t>
      </w:r>
      <w:r w:rsidR="00A137CC">
        <w:rPr>
          <w:rFonts w:ascii="Palatino Linotype" w:hAnsi="Palatino Linotype"/>
          <w:sz w:val="20"/>
          <w:szCs w:val="20"/>
        </w:rPr>
        <w:t>adding new definitions for “Appearance,” “Hearing,” and “Testimony,”</w:t>
      </w:r>
      <w:r w:rsidR="00553434">
        <w:rPr>
          <w:rFonts w:ascii="Palatino Linotype" w:hAnsi="Palatino Linotype"/>
          <w:sz w:val="20"/>
          <w:szCs w:val="20"/>
        </w:rPr>
        <w:t xml:space="preserve"> and revising our existing rules regarding appearances, to facilitate these processes.  </w:t>
      </w:r>
      <w:r w:rsidR="00C415F1">
        <w:rPr>
          <w:rFonts w:ascii="Palatino Linotype" w:hAnsi="Palatino Linotype"/>
          <w:sz w:val="20"/>
          <w:szCs w:val="20"/>
        </w:rPr>
        <w:t>W</w:t>
      </w:r>
      <w:r w:rsidR="00553434">
        <w:rPr>
          <w:rFonts w:ascii="Palatino Linotype" w:hAnsi="Palatino Linotype"/>
          <w:sz w:val="20"/>
          <w:szCs w:val="20"/>
        </w:rPr>
        <w:t xml:space="preserve">e propose </w:t>
      </w:r>
      <w:r w:rsidR="00A137CC">
        <w:rPr>
          <w:rFonts w:ascii="Palatino Linotype" w:hAnsi="Palatino Linotype"/>
          <w:sz w:val="20"/>
          <w:szCs w:val="20"/>
        </w:rPr>
        <w:t xml:space="preserve">adding new definitions for “Electronic,” “Filing,” and “Service,” and </w:t>
      </w:r>
      <w:r w:rsidR="00553434">
        <w:rPr>
          <w:rFonts w:ascii="Palatino Linotype" w:hAnsi="Palatino Linotype"/>
          <w:sz w:val="20"/>
          <w:szCs w:val="20"/>
        </w:rPr>
        <w:t>revising our existing rules regarding filing and service</w:t>
      </w:r>
      <w:r w:rsidR="00A137CC">
        <w:rPr>
          <w:rFonts w:ascii="Palatino Linotype" w:hAnsi="Palatino Linotype"/>
          <w:sz w:val="20"/>
          <w:szCs w:val="20"/>
        </w:rPr>
        <w:t>,</w:t>
      </w:r>
      <w:r w:rsidR="00553434">
        <w:rPr>
          <w:rFonts w:ascii="Palatino Linotype" w:hAnsi="Palatino Linotype"/>
          <w:sz w:val="20"/>
          <w:szCs w:val="20"/>
        </w:rPr>
        <w:t xml:space="preserve"> to provide for expanded electronic filing and service.</w:t>
      </w:r>
    </w:p>
    <w:p w14:paraId="64BB51B2" w14:textId="77777777" w:rsidR="000819F2" w:rsidRDefault="000819F2" w:rsidP="00434323">
      <w:pPr>
        <w:tabs>
          <w:tab w:val="left" w:pos="270"/>
        </w:tabs>
        <w:jc w:val="both"/>
        <w:rPr>
          <w:rFonts w:ascii="Palatino Linotype" w:hAnsi="Palatino Linotype"/>
          <w:sz w:val="20"/>
          <w:szCs w:val="20"/>
        </w:rPr>
      </w:pPr>
      <w:r>
        <w:rPr>
          <w:rFonts w:ascii="Palatino Linotype" w:hAnsi="Palatino Linotype"/>
          <w:sz w:val="20"/>
          <w:szCs w:val="20"/>
        </w:rPr>
        <w:t>We also propose revisions to our rule regarding applications for benefits from the Subsequent Injuries Benefits Trust Fund to facilitate the efficient resolution of such claims.</w:t>
      </w:r>
    </w:p>
    <w:p w14:paraId="0139FDB3" w14:textId="77777777" w:rsidR="00434323" w:rsidRPr="00977B91" w:rsidRDefault="00434323" w:rsidP="00434323">
      <w:pPr>
        <w:tabs>
          <w:tab w:val="left" w:pos="270"/>
        </w:tabs>
        <w:jc w:val="both"/>
        <w:rPr>
          <w:rFonts w:ascii="Palatino Linotype" w:hAnsi="Palatino Linotype"/>
          <w:sz w:val="20"/>
          <w:szCs w:val="20"/>
        </w:rPr>
      </w:pPr>
      <w:r>
        <w:rPr>
          <w:rFonts w:ascii="Palatino Linotype" w:hAnsi="Palatino Linotype"/>
          <w:sz w:val="20"/>
          <w:szCs w:val="20"/>
        </w:rPr>
        <w:t>Additionally, we</w:t>
      </w:r>
      <w:r w:rsidR="002F73B6">
        <w:rPr>
          <w:rFonts w:ascii="Palatino Linotype" w:hAnsi="Palatino Linotype"/>
          <w:sz w:val="20"/>
          <w:szCs w:val="20"/>
        </w:rPr>
        <w:t xml:space="preserve"> propose correct</w:t>
      </w:r>
      <w:r w:rsidR="00C415F1">
        <w:rPr>
          <w:rFonts w:ascii="Palatino Linotype" w:hAnsi="Palatino Linotype"/>
          <w:sz w:val="20"/>
          <w:szCs w:val="20"/>
        </w:rPr>
        <w:t>ing</w:t>
      </w:r>
      <w:r w:rsidR="002F73B6">
        <w:rPr>
          <w:rFonts w:ascii="Palatino Linotype" w:hAnsi="Palatino Linotype"/>
          <w:sz w:val="20"/>
          <w:szCs w:val="20"/>
        </w:rPr>
        <w:t xml:space="preserve"> typographical errors in </w:t>
      </w:r>
      <w:r w:rsidR="00945F46">
        <w:rPr>
          <w:rFonts w:ascii="Palatino Linotype" w:hAnsi="Palatino Linotype"/>
          <w:sz w:val="20"/>
          <w:szCs w:val="20"/>
        </w:rPr>
        <w:t>six</w:t>
      </w:r>
      <w:r w:rsidR="00C415F1">
        <w:rPr>
          <w:rFonts w:ascii="Palatino Linotype" w:hAnsi="Palatino Linotype"/>
          <w:sz w:val="20"/>
          <w:szCs w:val="20"/>
        </w:rPr>
        <w:t xml:space="preserve"> rules.</w:t>
      </w:r>
    </w:p>
    <w:p w14:paraId="28C65BF3" w14:textId="77777777" w:rsidR="001A5D96" w:rsidRPr="00977B91" w:rsidRDefault="00C415F1" w:rsidP="006C286C">
      <w:pPr>
        <w:jc w:val="both"/>
        <w:rPr>
          <w:rFonts w:ascii="Palatino Linotype" w:hAnsi="Palatino Linotype"/>
          <w:sz w:val="20"/>
          <w:szCs w:val="20"/>
        </w:rPr>
      </w:pPr>
      <w:r>
        <w:rPr>
          <w:rFonts w:ascii="Palatino Linotype" w:hAnsi="Palatino Linotype"/>
          <w:sz w:val="20"/>
          <w:szCs w:val="20"/>
        </w:rPr>
        <w:t>Changes to e</w:t>
      </w:r>
      <w:r w:rsidR="00CE1465" w:rsidRPr="00977B91">
        <w:rPr>
          <w:rFonts w:ascii="Palatino Linotype" w:hAnsi="Palatino Linotype"/>
          <w:sz w:val="20"/>
          <w:szCs w:val="20"/>
        </w:rPr>
        <w:t xml:space="preserve">ach </w:t>
      </w:r>
      <w:r>
        <w:rPr>
          <w:rFonts w:ascii="Palatino Linotype" w:hAnsi="Palatino Linotype"/>
          <w:sz w:val="20"/>
          <w:szCs w:val="20"/>
        </w:rPr>
        <w:t xml:space="preserve">specific </w:t>
      </w:r>
      <w:r w:rsidR="00CE1465" w:rsidRPr="00977B91">
        <w:rPr>
          <w:rFonts w:ascii="Palatino Linotype" w:hAnsi="Palatino Linotype"/>
          <w:sz w:val="20"/>
          <w:szCs w:val="20"/>
        </w:rPr>
        <w:t>rule</w:t>
      </w:r>
      <w:r w:rsidR="001A5D96" w:rsidRPr="00977B91">
        <w:rPr>
          <w:rFonts w:ascii="Palatino Linotype" w:hAnsi="Palatino Linotype"/>
          <w:sz w:val="20"/>
          <w:szCs w:val="20"/>
        </w:rPr>
        <w:t xml:space="preserve"> are discussed below, in the se</w:t>
      </w:r>
      <w:r w:rsidR="00A137CC">
        <w:rPr>
          <w:rFonts w:ascii="Palatino Linotype" w:hAnsi="Palatino Linotype"/>
          <w:sz w:val="20"/>
          <w:szCs w:val="20"/>
        </w:rPr>
        <w:t xml:space="preserve">ction pertaining to each rule. </w:t>
      </w:r>
    </w:p>
    <w:p w14:paraId="5CC23B4A" w14:textId="77777777" w:rsidR="001417C4" w:rsidRPr="00977B91" w:rsidRDefault="001A5D96" w:rsidP="001A5D96">
      <w:pPr>
        <w:jc w:val="both"/>
        <w:rPr>
          <w:rFonts w:ascii="Palatino Linotype" w:hAnsi="Palatino Linotype"/>
          <w:sz w:val="20"/>
          <w:szCs w:val="20"/>
        </w:rPr>
      </w:pPr>
      <w:r w:rsidRPr="00977B91">
        <w:rPr>
          <w:rFonts w:ascii="Palatino Linotype" w:hAnsi="Palatino Linotype"/>
          <w:sz w:val="20"/>
          <w:szCs w:val="20"/>
        </w:rPr>
        <w:t xml:space="preserve">In the proposed rules, changes are reflected by </w:t>
      </w:r>
      <w:r w:rsidRPr="00977B91">
        <w:rPr>
          <w:rFonts w:ascii="Palatino Linotype" w:hAnsi="Palatino Linotype"/>
          <w:sz w:val="20"/>
          <w:szCs w:val="20"/>
          <w:u w:val="single"/>
        </w:rPr>
        <w:t>underlining</w:t>
      </w:r>
      <w:r w:rsidRPr="00977B91">
        <w:rPr>
          <w:rFonts w:ascii="Palatino Linotype" w:hAnsi="Palatino Linotype"/>
          <w:sz w:val="20"/>
          <w:szCs w:val="20"/>
        </w:rPr>
        <w:t xml:space="preserve"> (indicating new language) and strike-throughs (indicating deleted language).</w:t>
      </w:r>
    </w:p>
    <w:p w14:paraId="22696C33"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Specific Technologies or Equipment</w:t>
      </w:r>
    </w:p>
    <w:p w14:paraId="4168A84F"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rPr>
        <w:t xml:space="preserve">The proposed amendments do </w:t>
      </w:r>
      <w:r w:rsidRPr="00977B91">
        <w:rPr>
          <w:rFonts w:ascii="Palatino Linotype" w:hAnsi="Palatino Linotype"/>
          <w:i/>
          <w:sz w:val="20"/>
          <w:szCs w:val="20"/>
        </w:rPr>
        <w:t>not</w:t>
      </w:r>
      <w:r w:rsidRPr="00977B91">
        <w:rPr>
          <w:rFonts w:ascii="Palatino Linotype" w:hAnsi="Palatino Linotype"/>
          <w:sz w:val="20"/>
          <w:szCs w:val="20"/>
        </w:rPr>
        <w:t xml:space="preserve"> mandate the use of specific technologies or equipment.</w:t>
      </w:r>
    </w:p>
    <w:p w14:paraId="670DB8FC"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Consideration of Alternatives</w:t>
      </w:r>
    </w:p>
    <w:p w14:paraId="147E9708"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 xml:space="preserve">The </w:t>
      </w:r>
      <w:smartTag w:uri="urn:schemas-microsoft-com:office:smarttags" w:element="PersonName">
        <w:r w:rsidRPr="00977B91">
          <w:rPr>
            <w:rFonts w:ascii="Palatino Linotype" w:hAnsi="Palatino Linotype"/>
            <w:sz w:val="20"/>
            <w:szCs w:val="20"/>
          </w:rPr>
          <w:t>WCAB</w:t>
        </w:r>
      </w:smartTag>
      <w:r w:rsidRPr="00977B91">
        <w:rPr>
          <w:rFonts w:ascii="Palatino Linotype" w:hAnsi="Palatino Linotype"/>
          <w:sz w:val="20"/>
          <w:szCs w:val="20"/>
        </w:rPr>
        <w:t xml:space="preserve"> has identified no alternative that would be either more effective, or equally effective and less burdensome than the proposed amendments.</w:t>
      </w:r>
    </w:p>
    <w:p w14:paraId="5774CE91"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Effect on Small Businesses</w:t>
      </w:r>
    </w:p>
    <w:p w14:paraId="37258783"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The proposed amendments will not have a significant effect on small businesses.</w:t>
      </w:r>
    </w:p>
    <w:p w14:paraId="35CC8994" w14:textId="77777777" w:rsidR="001417C4" w:rsidRPr="00977B91" w:rsidRDefault="001417C4" w:rsidP="001417C4">
      <w:pPr>
        <w:rPr>
          <w:rFonts w:ascii="Palatino Linotype" w:hAnsi="Palatino Linotype"/>
          <w:sz w:val="20"/>
          <w:szCs w:val="20"/>
          <w:u w:val="single"/>
        </w:rPr>
      </w:pPr>
      <w:r w:rsidRPr="00977B91">
        <w:rPr>
          <w:rFonts w:ascii="Palatino Linotype" w:hAnsi="Palatino Linotype"/>
          <w:sz w:val="20"/>
          <w:szCs w:val="20"/>
          <w:u w:val="single"/>
        </w:rPr>
        <w:t>Economic Impact on California Business Enterprises and Individuals</w:t>
      </w:r>
    </w:p>
    <w:p w14:paraId="02C6B635" w14:textId="77777777" w:rsidR="001417C4" w:rsidRPr="00977B91" w:rsidRDefault="001417C4" w:rsidP="001417C4">
      <w:pPr>
        <w:rPr>
          <w:rFonts w:ascii="Palatino Linotype" w:hAnsi="Palatino Linotype"/>
          <w:sz w:val="20"/>
          <w:szCs w:val="20"/>
        </w:rPr>
      </w:pPr>
      <w:r w:rsidRPr="00977B91">
        <w:rPr>
          <w:rFonts w:ascii="Palatino Linotype" w:hAnsi="Palatino Linotype"/>
          <w:sz w:val="20"/>
          <w:szCs w:val="20"/>
        </w:rPr>
        <w:t>The proposed amendments will not have a significant economic impact on California business enterprises and individuals.</w:t>
      </w:r>
    </w:p>
    <w:p w14:paraId="1C48AEA7" w14:textId="77777777" w:rsidR="0096730B" w:rsidRPr="00977B91" w:rsidRDefault="00040282" w:rsidP="0096730B">
      <w:pPr>
        <w:jc w:val="center"/>
        <w:rPr>
          <w:rFonts w:ascii="Palatino Linotype" w:hAnsi="Palatino Linotype"/>
          <w:b/>
          <w:sz w:val="20"/>
          <w:szCs w:val="20"/>
        </w:rPr>
      </w:pPr>
      <w:r w:rsidRPr="00977B91">
        <w:rPr>
          <w:rFonts w:ascii="Palatino Linotype" w:hAnsi="Palatino Linotype"/>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s and Titles of Rules Amended or Adopted"/>
        <w:tblDescription w:val="This table lists the numbers and titles of rules that are being amended or adopted in this rulemaking."/>
      </w:tblPr>
      <w:tblGrid>
        <w:gridCol w:w="1739"/>
        <w:gridCol w:w="7611"/>
      </w:tblGrid>
      <w:tr w:rsidR="0061209A" w:rsidRPr="00977B91" w14:paraId="0F6AA336" w14:textId="77777777" w:rsidTr="00300041">
        <w:trPr>
          <w:trHeight w:val="530"/>
          <w:tblHeader/>
        </w:trPr>
        <w:tc>
          <w:tcPr>
            <w:tcW w:w="930" w:type="pct"/>
            <w:shd w:val="clear" w:color="auto" w:fill="FFFFFF"/>
          </w:tcPr>
          <w:p w14:paraId="2B60F445" w14:textId="77777777" w:rsidR="0061209A" w:rsidRPr="00A426B4" w:rsidRDefault="0061209A" w:rsidP="00A426B4">
            <w:pPr>
              <w:jc w:val="center"/>
              <w:rPr>
                <w:rFonts w:ascii="Palatino Linotype" w:hAnsi="Palatino Linotype"/>
                <w:b/>
              </w:rPr>
            </w:pPr>
            <w:bookmarkStart w:id="6" w:name="ColumnOfRuleNumbers"/>
            <w:r w:rsidRPr="00A426B4">
              <w:rPr>
                <w:rFonts w:ascii="Palatino Linotype" w:hAnsi="Palatino Linotype"/>
                <w:b/>
              </w:rPr>
              <w:lastRenderedPageBreak/>
              <w:t>Number</w:t>
            </w:r>
            <w:bookmarkEnd w:id="6"/>
          </w:p>
        </w:tc>
        <w:tc>
          <w:tcPr>
            <w:tcW w:w="4070" w:type="pct"/>
            <w:shd w:val="clear" w:color="auto" w:fill="FFFFFF"/>
          </w:tcPr>
          <w:p w14:paraId="4187BD01" w14:textId="77777777" w:rsidR="0061209A" w:rsidRPr="008157D4" w:rsidRDefault="0061209A" w:rsidP="00A426B4">
            <w:pPr>
              <w:jc w:val="center"/>
            </w:pPr>
            <w:bookmarkStart w:id="7" w:name="ColumnOfTitleOfRules"/>
            <w:r w:rsidRPr="00A426B4">
              <w:rPr>
                <w:rFonts w:ascii="Palatino Linotype" w:hAnsi="Palatino Linotype"/>
                <w:b/>
              </w:rPr>
              <w:t>Title</w:t>
            </w:r>
            <w:bookmarkEnd w:id="7"/>
          </w:p>
        </w:tc>
      </w:tr>
      <w:tr w:rsidR="0061209A" w:rsidRPr="00977B91" w14:paraId="55761965" w14:textId="77777777" w:rsidTr="0061209A">
        <w:trPr>
          <w:trHeight w:val="258"/>
        </w:trPr>
        <w:tc>
          <w:tcPr>
            <w:tcW w:w="930" w:type="pct"/>
            <w:shd w:val="clear" w:color="auto" w:fill="FFFFFF"/>
          </w:tcPr>
          <w:p w14:paraId="09040BEA" w14:textId="77777777" w:rsidR="0061209A" w:rsidRPr="00977B91" w:rsidRDefault="00E706A2" w:rsidP="001A747E">
            <w:pPr>
              <w:jc w:val="center"/>
              <w:rPr>
                <w:rFonts w:ascii="Palatino Linotype" w:hAnsi="Palatino Linotype"/>
                <w:sz w:val="20"/>
                <w:szCs w:val="20"/>
              </w:rPr>
            </w:pPr>
            <w:r>
              <w:rPr>
                <w:rFonts w:ascii="Palatino Linotype" w:hAnsi="Palatino Linotype"/>
                <w:sz w:val="20"/>
                <w:szCs w:val="20"/>
              </w:rPr>
              <w:t>10305</w:t>
            </w:r>
          </w:p>
        </w:tc>
        <w:tc>
          <w:tcPr>
            <w:tcW w:w="4070" w:type="pct"/>
            <w:shd w:val="clear" w:color="auto" w:fill="FFFFFF"/>
          </w:tcPr>
          <w:p w14:paraId="7B49B372" w14:textId="77777777" w:rsidR="0061209A" w:rsidRPr="00977B91" w:rsidRDefault="00E706A2" w:rsidP="001A747E">
            <w:pPr>
              <w:jc w:val="center"/>
              <w:rPr>
                <w:rFonts w:ascii="Palatino Linotype" w:hAnsi="Palatino Linotype"/>
                <w:sz w:val="20"/>
                <w:szCs w:val="20"/>
              </w:rPr>
            </w:pPr>
            <w:r w:rsidRPr="00E706A2">
              <w:rPr>
                <w:rFonts w:ascii="Palatino Linotype" w:hAnsi="Palatino Linotype"/>
                <w:sz w:val="20"/>
                <w:szCs w:val="20"/>
              </w:rPr>
              <w:t>Definitions.</w:t>
            </w:r>
          </w:p>
        </w:tc>
      </w:tr>
      <w:tr w:rsidR="0061209A" w:rsidRPr="00977B91" w14:paraId="383FC1F8" w14:textId="77777777" w:rsidTr="0061209A">
        <w:trPr>
          <w:trHeight w:val="258"/>
        </w:trPr>
        <w:tc>
          <w:tcPr>
            <w:tcW w:w="930" w:type="pct"/>
            <w:shd w:val="clear" w:color="auto" w:fill="FFFFFF"/>
          </w:tcPr>
          <w:p w14:paraId="2EB910A2" w14:textId="77777777" w:rsidR="0061209A" w:rsidRPr="00977B91" w:rsidRDefault="00F608D2" w:rsidP="001A747E">
            <w:pPr>
              <w:jc w:val="center"/>
              <w:rPr>
                <w:rFonts w:ascii="Palatino Linotype" w:hAnsi="Palatino Linotype"/>
                <w:sz w:val="20"/>
                <w:szCs w:val="20"/>
              </w:rPr>
            </w:pPr>
            <w:r>
              <w:rPr>
                <w:rFonts w:ascii="Palatino Linotype" w:hAnsi="Palatino Linotype"/>
                <w:sz w:val="20"/>
                <w:szCs w:val="20"/>
              </w:rPr>
              <w:t>10400</w:t>
            </w:r>
          </w:p>
        </w:tc>
        <w:tc>
          <w:tcPr>
            <w:tcW w:w="4070" w:type="pct"/>
            <w:shd w:val="clear" w:color="auto" w:fill="FFFFFF"/>
          </w:tcPr>
          <w:p w14:paraId="0CBFE1A2" w14:textId="77777777" w:rsidR="0061209A" w:rsidRPr="00977B91" w:rsidRDefault="00F608D2" w:rsidP="001A747E">
            <w:pPr>
              <w:jc w:val="center"/>
              <w:rPr>
                <w:rFonts w:ascii="Palatino Linotype" w:hAnsi="Palatino Linotype"/>
                <w:sz w:val="20"/>
                <w:szCs w:val="20"/>
              </w:rPr>
            </w:pPr>
            <w:r w:rsidRPr="00F608D2">
              <w:rPr>
                <w:rFonts w:ascii="Palatino Linotype" w:hAnsi="Palatino Linotype"/>
                <w:sz w:val="20"/>
                <w:szCs w:val="20"/>
              </w:rPr>
              <w:t>Attorney Representatives.</w:t>
            </w:r>
          </w:p>
        </w:tc>
      </w:tr>
      <w:tr w:rsidR="0061209A" w:rsidRPr="00977B91" w14:paraId="1535ED0A" w14:textId="77777777" w:rsidTr="0061209A">
        <w:trPr>
          <w:trHeight w:val="510"/>
        </w:trPr>
        <w:tc>
          <w:tcPr>
            <w:tcW w:w="930" w:type="pct"/>
            <w:shd w:val="clear" w:color="auto" w:fill="FFFFFF"/>
          </w:tcPr>
          <w:p w14:paraId="010110D4" w14:textId="77777777" w:rsidR="0061209A" w:rsidRPr="00DE3E96" w:rsidRDefault="00F608D2" w:rsidP="00F76B75">
            <w:pPr>
              <w:jc w:val="center"/>
              <w:rPr>
                <w:rFonts w:ascii="Palatino Linotype" w:hAnsi="Palatino Linotype"/>
                <w:sz w:val="20"/>
                <w:szCs w:val="20"/>
              </w:rPr>
            </w:pPr>
            <w:r>
              <w:rPr>
                <w:rFonts w:ascii="Palatino Linotype" w:hAnsi="Palatino Linotype"/>
                <w:sz w:val="20"/>
                <w:szCs w:val="20"/>
              </w:rPr>
              <w:t>104</w:t>
            </w:r>
            <w:r w:rsidR="0061209A" w:rsidRPr="00DE3E96">
              <w:rPr>
                <w:rFonts w:ascii="Palatino Linotype" w:hAnsi="Palatino Linotype"/>
                <w:sz w:val="20"/>
                <w:szCs w:val="20"/>
              </w:rPr>
              <w:t>0</w:t>
            </w:r>
            <w:r>
              <w:rPr>
                <w:rFonts w:ascii="Palatino Linotype" w:hAnsi="Palatino Linotype"/>
                <w:sz w:val="20"/>
                <w:szCs w:val="20"/>
              </w:rPr>
              <w:t>1</w:t>
            </w:r>
          </w:p>
        </w:tc>
        <w:tc>
          <w:tcPr>
            <w:tcW w:w="4070" w:type="pct"/>
            <w:shd w:val="clear" w:color="auto" w:fill="FFFFFF"/>
          </w:tcPr>
          <w:p w14:paraId="20EF3E4E" w14:textId="77777777" w:rsidR="0061209A" w:rsidRPr="00DE3E96" w:rsidRDefault="00F608D2" w:rsidP="00F76B75">
            <w:pPr>
              <w:jc w:val="center"/>
              <w:rPr>
                <w:rFonts w:ascii="Palatino Linotype" w:hAnsi="Palatino Linotype"/>
                <w:sz w:val="20"/>
                <w:szCs w:val="20"/>
              </w:rPr>
            </w:pPr>
            <w:r w:rsidRPr="00F608D2">
              <w:rPr>
                <w:rFonts w:ascii="Palatino Linotype" w:hAnsi="Palatino Linotype"/>
                <w:sz w:val="20"/>
                <w:szCs w:val="20"/>
              </w:rPr>
              <w:t>Non-Attorney Representatives.</w:t>
            </w:r>
          </w:p>
        </w:tc>
      </w:tr>
      <w:tr w:rsidR="00AD0579" w:rsidRPr="00977B91" w14:paraId="025F4391" w14:textId="77777777" w:rsidTr="0061209A">
        <w:tc>
          <w:tcPr>
            <w:tcW w:w="930" w:type="pct"/>
            <w:shd w:val="clear" w:color="auto" w:fill="FFFFFF"/>
          </w:tcPr>
          <w:p w14:paraId="50D3482D" w14:textId="77777777" w:rsidR="00AD0579" w:rsidRDefault="00AD0579" w:rsidP="00F76B75">
            <w:pPr>
              <w:jc w:val="center"/>
              <w:rPr>
                <w:rFonts w:ascii="Palatino Linotype" w:hAnsi="Palatino Linotype"/>
                <w:sz w:val="20"/>
                <w:szCs w:val="20"/>
              </w:rPr>
            </w:pPr>
            <w:r>
              <w:rPr>
                <w:rFonts w:ascii="Palatino Linotype" w:hAnsi="Palatino Linotype"/>
                <w:sz w:val="20"/>
                <w:szCs w:val="20"/>
              </w:rPr>
              <w:t>10404</w:t>
            </w:r>
          </w:p>
        </w:tc>
        <w:tc>
          <w:tcPr>
            <w:tcW w:w="4070" w:type="pct"/>
            <w:shd w:val="clear" w:color="auto" w:fill="FFFFFF"/>
          </w:tcPr>
          <w:p w14:paraId="5484B6A2" w14:textId="77777777" w:rsidR="00AD0579" w:rsidRDefault="00AD0579" w:rsidP="00F76B75">
            <w:pPr>
              <w:jc w:val="center"/>
              <w:rPr>
                <w:rFonts w:ascii="Palatino Linotype" w:hAnsi="Palatino Linotype"/>
                <w:sz w:val="20"/>
                <w:szCs w:val="20"/>
              </w:rPr>
            </w:pPr>
            <w:r w:rsidRPr="00AD0579">
              <w:rPr>
                <w:rFonts w:ascii="Palatino Linotype" w:hAnsi="Palatino Linotype"/>
                <w:sz w:val="20"/>
                <w:szCs w:val="20"/>
              </w:rPr>
              <w:t>Suspension and Removal of a Non-Attorney Representative's Privilege to Appear Before the Workers' Compensation Appeals Board Under Labor Code Section 4907.</w:t>
            </w:r>
          </w:p>
        </w:tc>
      </w:tr>
      <w:tr w:rsidR="0019497E" w:rsidRPr="00977B91" w14:paraId="1947313E" w14:textId="77777777" w:rsidTr="0061209A">
        <w:tc>
          <w:tcPr>
            <w:tcW w:w="930" w:type="pct"/>
            <w:shd w:val="clear" w:color="auto" w:fill="FFFFFF"/>
          </w:tcPr>
          <w:p w14:paraId="1BAFB592" w14:textId="77777777" w:rsidR="0019497E" w:rsidRDefault="0019497E" w:rsidP="00F76B75">
            <w:pPr>
              <w:jc w:val="center"/>
              <w:rPr>
                <w:rFonts w:ascii="Palatino Linotype" w:hAnsi="Palatino Linotype"/>
                <w:sz w:val="20"/>
                <w:szCs w:val="20"/>
              </w:rPr>
            </w:pPr>
            <w:r>
              <w:rPr>
                <w:rFonts w:ascii="Palatino Linotype" w:hAnsi="Palatino Linotype"/>
                <w:sz w:val="20"/>
                <w:szCs w:val="20"/>
              </w:rPr>
              <w:t>10462</w:t>
            </w:r>
          </w:p>
        </w:tc>
        <w:tc>
          <w:tcPr>
            <w:tcW w:w="4070" w:type="pct"/>
            <w:shd w:val="clear" w:color="auto" w:fill="FFFFFF"/>
          </w:tcPr>
          <w:p w14:paraId="3ED555BE" w14:textId="77777777" w:rsidR="0019497E" w:rsidRPr="00C75404" w:rsidRDefault="0019497E" w:rsidP="00F76B75">
            <w:pPr>
              <w:jc w:val="center"/>
              <w:rPr>
                <w:rFonts w:ascii="Palatino Linotype" w:hAnsi="Palatino Linotype"/>
                <w:sz w:val="20"/>
                <w:szCs w:val="20"/>
              </w:rPr>
            </w:pPr>
            <w:r w:rsidRPr="0019497E">
              <w:rPr>
                <w:rFonts w:ascii="Palatino Linotype" w:hAnsi="Palatino Linotype"/>
                <w:sz w:val="20"/>
                <w:szCs w:val="20"/>
              </w:rPr>
              <w:t>Subsequent Injuries Benefits Trust Fund Application.</w:t>
            </w:r>
          </w:p>
        </w:tc>
      </w:tr>
      <w:tr w:rsidR="00C75404" w:rsidRPr="00977B91" w14:paraId="1CCDEFD2" w14:textId="77777777" w:rsidTr="0061209A">
        <w:tc>
          <w:tcPr>
            <w:tcW w:w="930" w:type="pct"/>
            <w:shd w:val="clear" w:color="auto" w:fill="FFFFFF"/>
          </w:tcPr>
          <w:p w14:paraId="5B38DB7B" w14:textId="77777777" w:rsidR="00C75404" w:rsidRDefault="00C75404" w:rsidP="00F76B75">
            <w:pPr>
              <w:jc w:val="center"/>
              <w:rPr>
                <w:rFonts w:ascii="Palatino Linotype" w:hAnsi="Palatino Linotype"/>
                <w:sz w:val="20"/>
                <w:szCs w:val="20"/>
              </w:rPr>
            </w:pPr>
            <w:r>
              <w:rPr>
                <w:rFonts w:ascii="Palatino Linotype" w:hAnsi="Palatino Linotype"/>
                <w:sz w:val="20"/>
                <w:szCs w:val="20"/>
              </w:rPr>
              <w:t>10550</w:t>
            </w:r>
          </w:p>
        </w:tc>
        <w:tc>
          <w:tcPr>
            <w:tcW w:w="4070" w:type="pct"/>
            <w:shd w:val="clear" w:color="auto" w:fill="FFFFFF"/>
          </w:tcPr>
          <w:p w14:paraId="2F48F439" w14:textId="77777777" w:rsidR="00C75404" w:rsidRDefault="00C75404" w:rsidP="00F76B75">
            <w:pPr>
              <w:jc w:val="center"/>
              <w:rPr>
                <w:rFonts w:ascii="Palatino Linotype" w:hAnsi="Palatino Linotype"/>
                <w:sz w:val="20"/>
                <w:szCs w:val="20"/>
              </w:rPr>
            </w:pPr>
            <w:r w:rsidRPr="00C75404">
              <w:rPr>
                <w:rFonts w:ascii="Palatino Linotype" w:hAnsi="Palatino Linotype"/>
                <w:sz w:val="20"/>
                <w:szCs w:val="20"/>
              </w:rPr>
              <w:t>Petition to Dismiss Inactive Cases.</w:t>
            </w:r>
          </w:p>
        </w:tc>
      </w:tr>
      <w:tr w:rsidR="00AC1C5D" w:rsidRPr="00977B91" w14:paraId="37E5636C" w14:textId="77777777" w:rsidTr="0061209A">
        <w:tc>
          <w:tcPr>
            <w:tcW w:w="930" w:type="pct"/>
            <w:shd w:val="clear" w:color="auto" w:fill="FFFFFF"/>
          </w:tcPr>
          <w:p w14:paraId="23761F36" w14:textId="77777777" w:rsidR="00AC1C5D" w:rsidRDefault="00AC1C5D" w:rsidP="00AC1C5D">
            <w:pPr>
              <w:jc w:val="center"/>
              <w:rPr>
                <w:rFonts w:ascii="Palatino Linotype" w:hAnsi="Palatino Linotype"/>
                <w:sz w:val="20"/>
                <w:szCs w:val="20"/>
              </w:rPr>
            </w:pPr>
            <w:r>
              <w:rPr>
                <w:rFonts w:ascii="Palatino Linotype" w:hAnsi="Palatino Linotype"/>
                <w:sz w:val="20"/>
                <w:szCs w:val="20"/>
              </w:rPr>
              <w:t>10610</w:t>
            </w:r>
          </w:p>
        </w:tc>
        <w:tc>
          <w:tcPr>
            <w:tcW w:w="4070" w:type="pct"/>
            <w:shd w:val="clear" w:color="auto" w:fill="FFFFFF"/>
          </w:tcPr>
          <w:p w14:paraId="05981EE1" w14:textId="77777777" w:rsidR="00AC1C5D" w:rsidRDefault="00AC1C5D" w:rsidP="00F76B75">
            <w:pPr>
              <w:jc w:val="center"/>
              <w:rPr>
                <w:rFonts w:ascii="Palatino Linotype" w:hAnsi="Palatino Linotype"/>
                <w:sz w:val="20"/>
                <w:szCs w:val="20"/>
              </w:rPr>
            </w:pPr>
            <w:r>
              <w:rPr>
                <w:rFonts w:ascii="Palatino Linotype" w:hAnsi="Palatino Linotype"/>
                <w:sz w:val="20"/>
                <w:szCs w:val="20"/>
              </w:rPr>
              <w:t>Filing and Service of Documents.</w:t>
            </w:r>
          </w:p>
        </w:tc>
      </w:tr>
      <w:tr w:rsidR="0061209A" w:rsidRPr="00977B91" w14:paraId="3ADFEAF2" w14:textId="77777777" w:rsidTr="0061209A">
        <w:tc>
          <w:tcPr>
            <w:tcW w:w="930" w:type="pct"/>
            <w:shd w:val="clear" w:color="auto" w:fill="FFFFFF"/>
          </w:tcPr>
          <w:p w14:paraId="7623FD39" w14:textId="77777777" w:rsidR="0061209A" w:rsidRPr="00977B91" w:rsidRDefault="00F608D2" w:rsidP="00F76B75">
            <w:pPr>
              <w:jc w:val="center"/>
              <w:rPr>
                <w:rFonts w:ascii="Palatino Linotype" w:hAnsi="Palatino Linotype"/>
                <w:sz w:val="20"/>
                <w:szCs w:val="20"/>
              </w:rPr>
            </w:pPr>
            <w:r w:rsidRPr="00945F46">
              <w:rPr>
                <w:rFonts w:ascii="Palatino Linotype" w:hAnsi="Palatino Linotype"/>
                <w:sz w:val="20"/>
                <w:szCs w:val="20"/>
              </w:rPr>
              <w:t>10615</w:t>
            </w:r>
          </w:p>
        </w:tc>
        <w:tc>
          <w:tcPr>
            <w:tcW w:w="4070" w:type="pct"/>
            <w:shd w:val="clear" w:color="auto" w:fill="FFFFFF"/>
          </w:tcPr>
          <w:p w14:paraId="5DB66F7D" w14:textId="77777777" w:rsidR="0061209A" w:rsidRPr="00977B91" w:rsidRDefault="00CF0B47" w:rsidP="00CF0B47">
            <w:pPr>
              <w:jc w:val="center"/>
              <w:rPr>
                <w:rFonts w:ascii="Palatino Linotype" w:hAnsi="Palatino Linotype"/>
                <w:sz w:val="20"/>
                <w:szCs w:val="20"/>
              </w:rPr>
            </w:pPr>
            <w:r>
              <w:rPr>
                <w:rFonts w:ascii="Palatino Linotype" w:hAnsi="Palatino Linotype"/>
                <w:sz w:val="20"/>
                <w:szCs w:val="20"/>
              </w:rPr>
              <w:t xml:space="preserve">Filing </w:t>
            </w:r>
            <w:r w:rsidR="00F608D2" w:rsidRPr="00945F46">
              <w:rPr>
                <w:rFonts w:ascii="Palatino Linotype" w:hAnsi="Palatino Linotype"/>
                <w:sz w:val="20"/>
                <w:szCs w:val="20"/>
              </w:rPr>
              <w:t>of Documents.</w:t>
            </w:r>
          </w:p>
        </w:tc>
      </w:tr>
      <w:tr w:rsidR="00E706A2" w:rsidRPr="00977B91" w14:paraId="4D7A0C26" w14:textId="77777777" w:rsidTr="0061209A">
        <w:tc>
          <w:tcPr>
            <w:tcW w:w="930" w:type="pct"/>
            <w:shd w:val="clear" w:color="auto" w:fill="FFFFFF"/>
          </w:tcPr>
          <w:p w14:paraId="3B452C44"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10625</w:t>
            </w:r>
          </w:p>
        </w:tc>
        <w:tc>
          <w:tcPr>
            <w:tcW w:w="4070" w:type="pct"/>
            <w:shd w:val="clear" w:color="auto" w:fill="FFFFFF"/>
          </w:tcPr>
          <w:p w14:paraId="67C00B30"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Service</w:t>
            </w:r>
            <w:r w:rsidR="006A6422">
              <w:rPr>
                <w:rFonts w:ascii="Palatino Linotype" w:hAnsi="Palatino Linotype"/>
                <w:sz w:val="20"/>
                <w:szCs w:val="20"/>
              </w:rPr>
              <w:t xml:space="preserve"> by Parties</w:t>
            </w:r>
            <w:r>
              <w:rPr>
                <w:rFonts w:ascii="Palatino Linotype" w:hAnsi="Palatino Linotype"/>
                <w:sz w:val="20"/>
                <w:szCs w:val="20"/>
              </w:rPr>
              <w:t>.</w:t>
            </w:r>
          </w:p>
        </w:tc>
      </w:tr>
      <w:tr w:rsidR="00E706A2" w:rsidRPr="00977B91" w14:paraId="508FBC0E" w14:textId="77777777" w:rsidTr="0061209A">
        <w:tc>
          <w:tcPr>
            <w:tcW w:w="930" w:type="pct"/>
            <w:shd w:val="clear" w:color="auto" w:fill="FFFFFF"/>
          </w:tcPr>
          <w:p w14:paraId="5E30F43B" w14:textId="77777777" w:rsidR="00E706A2" w:rsidRPr="00977B91" w:rsidRDefault="00F608D2" w:rsidP="00F76B75">
            <w:pPr>
              <w:jc w:val="center"/>
              <w:rPr>
                <w:rFonts w:ascii="Palatino Linotype" w:hAnsi="Palatino Linotype"/>
                <w:sz w:val="20"/>
                <w:szCs w:val="20"/>
              </w:rPr>
            </w:pPr>
            <w:r>
              <w:rPr>
                <w:rFonts w:ascii="Palatino Linotype" w:hAnsi="Palatino Linotype"/>
                <w:sz w:val="20"/>
                <w:szCs w:val="20"/>
              </w:rPr>
              <w:t>10628</w:t>
            </w:r>
          </w:p>
        </w:tc>
        <w:tc>
          <w:tcPr>
            <w:tcW w:w="4070" w:type="pct"/>
            <w:shd w:val="clear" w:color="auto" w:fill="FFFFFF"/>
          </w:tcPr>
          <w:p w14:paraId="171660E4" w14:textId="77777777" w:rsidR="00E706A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Service by the Workers' Compensation Appeals Board.</w:t>
            </w:r>
          </w:p>
        </w:tc>
      </w:tr>
      <w:tr w:rsidR="00AD0579" w:rsidRPr="00977B91" w14:paraId="55017D0A" w14:textId="77777777" w:rsidTr="0061209A">
        <w:tc>
          <w:tcPr>
            <w:tcW w:w="930" w:type="pct"/>
            <w:shd w:val="clear" w:color="auto" w:fill="FFFFFF"/>
          </w:tcPr>
          <w:p w14:paraId="352E4BE3" w14:textId="77777777" w:rsidR="00AD0579" w:rsidRDefault="00AD0579" w:rsidP="00F76B75">
            <w:pPr>
              <w:jc w:val="center"/>
              <w:rPr>
                <w:rFonts w:ascii="Palatino Linotype" w:hAnsi="Palatino Linotype"/>
                <w:sz w:val="20"/>
                <w:szCs w:val="20"/>
              </w:rPr>
            </w:pPr>
            <w:r>
              <w:rPr>
                <w:rFonts w:ascii="Palatino Linotype" w:hAnsi="Palatino Linotype"/>
                <w:sz w:val="20"/>
                <w:szCs w:val="20"/>
              </w:rPr>
              <w:t>10635</w:t>
            </w:r>
          </w:p>
        </w:tc>
        <w:tc>
          <w:tcPr>
            <w:tcW w:w="4070" w:type="pct"/>
            <w:shd w:val="clear" w:color="auto" w:fill="FFFFFF"/>
          </w:tcPr>
          <w:p w14:paraId="4C222565" w14:textId="77777777" w:rsidR="00AD0579" w:rsidRPr="00F608D2" w:rsidRDefault="00AD0579" w:rsidP="00F76B75">
            <w:pPr>
              <w:jc w:val="center"/>
              <w:rPr>
                <w:rFonts w:ascii="Palatino Linotype" w:hAnsi="Palatino Linotype"/>
                <w:sz w:val="20"/>
                <w:szCs w:val="20"/>
              </w:rPr>
            </w:pPr>
            <w:r w:rsidRPr="00AD0579">
              <w:rPr>
                <w:rFonts w:ascii="Palatino Linotype" w:hAnsi="Palatino Linotype"/>
                <w:sz w:val="20"/>
                <w:szCs w:val="20"/>
              </w:rPr>
              <w:t>Duty to Serve Documents.</w:t>
            </w:r>
          </w:p>
        </w:tc>
      </w:tr>
      <w:tr w:rsidR="007564CF" w:rsidRPr="00977B91" w14:paraId="6E93793A" w14:textId="77777777" w:rsidTr="0061209A">
        <w:tc>
          <w:tcPr>
            <w:tcW w:w="930" w:type="pct"/>
            <w:shd w:val="clear" w:color="auto" w:fill="FFFFFF"/>
          </w:tcPr>
          <w:p w14:paraId="3526D14F" w14:textId="77777777" w:rsidR="007564CF" w:rsidRDefault="007564CF" w:rsidP="00F76B75">
            <w:pPr>
              <w:jc w:val="center"/>
              <w:rPr>
                <w:rFonts w:ascii="Palatino Linotype" w:hAnsi="Palatino Linotype"/>
                <w:sz w:val="20"/>
                <w:szCs w:val="20"/>
              </w:rPr>
            </w:pPr>
            <w:r>
              <w:rPr>
                <w:rFonts w:ascii="Palatino Linotype" w:hAnsi="Palatino Linotype"/>
                <w:sz w:val="20"/>
                <w:szCs w:val="20"/>
              </w:rPr>
              <w:t>10670</w:t>
            </w:r>
          </w:p>
        </w:tc>
        <w:tc>
          <w:tcPr>
            <w:tcW w:w="4070" w:type="pct"/>
            <w:shd w:val="clear" w:color="auto" w:fill="FFFFFF"/>
          </w:tcPr>
          <w:p w14:paraId="2D389406" w14:textId="77777777" w:rsidR="007564CF" w:rsidRPr="00F608D2" w:rsidRDefault="007564CF" w:rsidP="00F76B75">
            <w:pPr>
              <w:jc w:val="center"/>
              <w:rPr>
                <w:rFonts w:ascii="Palatino Linotype" w:hAnsi="Palatino Linotype"/>
                <w:sz w:val="20"/>
                <w:szCs w:val="20"/>
              </w:rPr>
            </w:pPr>
            <w:r>
              <w:rPr>
                <w:rFonts w:ascii="Palatino Linotype" w:hAnsi="Palatino Linotype"/>
                <w:sz w:val="20"/>
                <w:szCs w:val="20"/>
              </w:rPr>
              <w:t>Documentary Evidence.</w:t>
            </w:r>
          </w:p>
        </w:tc>
      </w:tr>
      <w:tr w:rsidR="00F608D2" w:rsidRPr="00977B91" w14:paraId="6F6A5A3D" w14:textId="77777777" w:rsidTr="0061209A">
        <w:tc>
          <w:tcPr>
            <w:tcW w:w="930" w:type="pct"/>
            <w:shd w:val="clear" w:color="auto" w:fill="FFFFFF"/>
          </w:tcPr>
          <w:p w14:paraId="2A9E981D"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10745</w:t>
            </w:r>
          </w:p>
        </w:tc>
        <w:tc>
          <w:tcPr>
            <w:tcW w:w="4070" w:type="pct"/>
            <w:shd w:val="clear" w:color="auto" w:fill="FFFFFF"/>
          </w:tcPr>
          <w:p w14:paraId="213E55B2"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Setting the Case.</w:t>
            </w:r>
          </w:p>
        </w:tc>
      </w:tr>
      <w:tr w:rsidR="00F608D2" w:rsidRPr="00977B91" w14:paraId="37B0751A" w14:textId="77777777" w:rsidTr="0061209A">
        <w:tc>
          <w:tcPr>
            <w:tcW w:w="930" w:type="pct"/>
            <w:shd w:val="clear" w:color="auto" w:fill="FFFFFF"/>
          </w:tcPr>
          <w:p w14:paraId="5E14C86D"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10750</w:t>
            </w:r>
          </w:p>
        </w:tc>
        <w:tc>
          <w:tcPr>
            <w:tcW w:w="4070" w:type="pct"/>
            <w:shd w:val="clear" w:color="auto" w:fill="FFFFFF"/>
          </w:tcPr>
          <w:p w14:paraId="5E59D796"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Notice of Hearing.</w:t>
            </w:r>
          </w:p>
        </w:tc>
      </w:tr>
      <w:tr w:rsidR="00F608D2" w:rsidRPr="00977B91" w14:paraId="009CEFE1" w14:textId="77777777" w:rsidTr="0061209A">
        <w:tc>
          <w:tcPr>
            <w:tcW w:w="930" w:type="pct"/>
            <w:shd w:val="clear" w:color="auto" w:fill="FFFFFF"/>
          </w:tcPr>
          <w:p w14:paraId="07893799"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10752</w:t>
            </w:r>
          </w:p>
        </w:tc>
        <w:tc>
          <w:tcPr>
            <w:tcW w:w="4070" w:type="pct"/>
            <w:shd w:val="clear" w:color="auto" w:fill="FFFFFF"/>
          </w:tcPr>
          <w:p w14:paraId="36269132"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Appearances Required.</w:t>
            </w:r>
          </w:p>
        </w:tc>
      </w:tr>
      <w:tr w:rsidR="00F608D2" w:rsidRPr="00977B91" w14:paraId="0EE9CEF2" w14:textId="77777777" w:rsidTr="0061209A">
        <w:tc>
          <w:tcPr>
            <w:tcW w:w="930" w:type="pct"/>
            <w:shd w:val="clear" w:color="auto" w:fill="FFFFFF"/>
          </w:tcPr>
          <w:p w14:paraId="1FAB2D82" w14:textId="77777777" w:rsidR="00F608D2" w:rsidRPr="00977B91" w:rsidRDefault="00F608D2" w:rsidP="00F76B75">
            <w:pPr>
              <w:jc w:val="center"/>
              <w:rPr>
                <w:rFonts w:ascii="Palatino Linotype" w:hAnsi="Palatino Linotype"/>
                <w:sz w:val="20"/>
                <w:szCs w:val="20"/>
              </w:rPr>
            </w:pPr>
            <w:r>
              <w:rPr>
                <w:rFonts w:ascii="Palatino Linotype" w:hAnsi="Palatino Linotype"/>
                <w:sz w:val="20"/>
                <w:szCs w:val="20"/>
              </w:rPr>
              <w:t>10755</w:t>
            </w:r>
          </w:p>
        </w:tc>
        <w:tc>
          <w:tcPr>
            <w:tcW w:w="4070" w:type="pct"/>
            <w:shd w:val="clear" w:color="auto" w:fill="FFFFFF"/>
          </w:tcPr>
          <w:p w14:paraId="04FD927F" w14:textId="77777777" w:rsidR="00F608D2" w:rsidRPr="00977B91" w:rsidRDefault="00F608D2" w:rsidP="00F76B75">
            <w:pPr>
              <w:jc w:val="center"/>
              <w:rPr>
                <w:rFonts w:ascii="Palatino Linotype" w:hAnsi="Palatino Linotype"/>
                <w:sz w:val="20"/>
                <w:szCs w:val="20"/>
              </w:rPr>
            </w:pPr>
            <w:r w:rsidRPr="00F608D2">
              <w:rPr>
                <w:rFonts w:ascii="Palatino Linotype" w:hAnsi="Palatino Linotype"/>
                <w:sz w:val="20"/>
                <w:szCs w:val="20"/>
              </w:rPr>
              <w:t>Failure to Appear at Mandatory Settlement Conference in Case in Chief.</w:t>
            </w:r>
          </w:p>
        </w:tc>
      </w:tr>
      <w:tr w:rsidR="00E706A2" w:rsidRPr="00977B91" w14:paraId="5A24C0DF" w14:textId="77777777" w:rsidTr="0061209A">
        <w:tc>
          <w:tcPr>
            <w:tcW w:w="930" w:type="pct"/>
            <w:shd w:val="clear" w:color="auto" w:fill="FFFFFF"/>
          </w:tcPr>
          <w:p w14:paraId="3AB4C99B" w14:textId="77777777" w:rsidR="00E706A2" w:rsidRPr="00977B91" w:rsidRDefault="00F608D2" w:rsidP="00F3363B">
            <w:pPr>
              <w:spacing w:after="0"/>
              <w:jc w:val="center"/>
              <w:rPr>
                <w:rFonts w:ascii="Palatino Linotype" w:hAnsi="Palatino Linotype"/>
                <w:sz w:val="20"/>
                <w:szCs w:val="20"/>
              </w:rPr>
            </w:pPr>
            <w:r>
              <w:rPr>
                <w:rFonts w:ascii="Palatino Linotype" w:hAnsi="Palatino Linotype"/>
                <w:sz w:val="20"/>
                <w:szCs w:val="20"/>
              </w:rPr>
              <w:t>10756</w:t>
            </w:r>
          </w:p>
        </w:tc>
        <w:tc>
          <w:tcPr>
            <w:tcW w:w="4070" w:type="pct"/>
            <w:shd w:val="clear" w:color="auto" w:fill="FFFFFF"/>
          </w:tcPr>
          <w:p w14:paraId="44A71D88" w14:textId="77777777" w:rsidR="00E706A2" w:rsidRPr="00977B91" w:rsidRDefault="00F608D2" w:rsidP="00F608D2">
            <w:pPr>
              <w:jc w:val="center"/>
              <w:rPr>
                <w:rFonts w:ascii="Palatino Linotype" w:hAnsi="Palatino Linotype"/>
                <w:sz w:val="20"/>
                <w:szCs w:val="20"/>
              </w:rPr>
            </w:pPr>
            <w:r w:rsidRPr="00F608D2">
              <w:rPr>
                <w:rFonts w:ascii="Palatino Linotype" w:hAnsi="Palatino Linotype"/>
                <w:sz w:val="20"/>
                <w:szCs w:val="20"/>
              </w:rPr>
              <w:t xml:space="preserve">Failure to Appear at </w:t>
            </w:r>
            <w:r>
              <w:rPr>
                <w:rFonts w:ascii="Palatino Linotype" w:hAnsi="Palatino Linotype"/>
                <w:sz w:val="20"/>
                <w:szCs w:val="20"/>
              </w:rPr>
              <w:t>Trial</w:t>
            </w:r>
            <w:r w:rsidRPr="00F608D2">
              <w:rPr>
                <w:rFonts w:ascii="Palatino Linotype" w:hAnsi="Palatino Linotype"/>
                <w:sz w:val="20"/>
                <w:szCs w:val="20"/>
              </w:rPr>
              <w:t xml:space="preserve"> in Case in Chief.</w:t>
            </w:r>
          </w:p>
        </w:tc>
      </w:tr>
      <w:tr w:rsidR="00B4697D" w:rsidRPr="00977B91" w14:paraId="71B92FB4" w14:textId="77777777" w:rsidTr="0061209A">
        <w:tc>
          <w:tcPr>
            <w:tcW w:w="930" w:type="pct"/>
            <w:shd w:val="clear" w:color="auto" w:fill="FFFFFF"/>
          </w:tcPr>
          <w:p w14:paraId="4F081C61" w14:textId="77777777" w:rsidR="00B4697D" w:rsidRDefault="00B4697D" w:rsidP="00F3363B">
            <w:pPr>
              <w:spacing w:after="0"/>
              <w:jc w:val="center"/>
              <w:rPr>
                <w:rFonts w:ascii="Palatino Linotype" w:hAnsi="Palatino Linotype"/>
                <w:sz w:val="20"/>
                <w:szCs w:val="20"/>
              </w:rPr>
            </w:pPr>
            <w:r>
              <w:rPr>
                <w:rFonts w:ascii="Palatino Linotype" w:hAnsi="Palatino Linotype"/>
                <w:sz w:val="20"/>
                <w:szCs w:val="20"/>
              </w:rPr>
              <w:t>10759</w:t>
            </w:r>
          </w:p>
        </w:tc>
        <w:tc>
          <w:tcPr>
            <w:tcW w:w="4070" w:type="pct"/>
            <w:shd w:val="clear" w:color="auto" w:fill="FFFFFF"/>
          </w:tcPr>
          <w:p w14:paraId="05358843" w14:textId="77777777" w:rsidR="00B4697D" w:rsidRPr="00F608D2" w:rsidRDefault="00B4697D" w:rsidP="00F608D2">
            <w:pPr>
              <w:jc w:val="center"/>
              <w:rPr>
                <w:rFonts w:ascii="Palatino Linotype" w:hAnsi="Palatino Linotype"/>
                <w:sz w:val="20"/>
                <w:szCs w:val="20"/>
              </w:rPr>
            </w:pPr>
            <w:r>
              <w:rPr>
                <w:rFonts w:ascii="Palatino Linotype" w:hAnsi="Palatino Linotype"/>
                <w:sz w:val="20"/>
                <w:szCs w:val="20"/>
              </w:rPr>
              <w:t>Mandatory Settlement Conferences.</w:t>
            </w:r>
          </w:p>
        </w:tc>
      </w:tr>
      <w:tr w:rsidR="00E706A2" w:rsidRPr="00977B91" w14:paraId="78CF25F6" w14:textId="77777777" w:rsidTr="0061209A">
        <w:tc>
          <w:tcPr>
            <w:tcW w:w="930" w:type="pct"/>
            <w:shd w:val="clear" w:color="auto" w:fill="FFFFFF"/>
          </w:tcPr>
          <w:p w14:paraId="68680386"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795C24B0"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10815</w:t>
            </w:r>
          </w:p>
        </w:tc>
        <w:tc>
          <w:tcPr>
            <w:tcW w:w="4070" w:type="pct"/>
            <w:shd w:val="clear" w:color="auto" w:fill="FFFFFF"/>
          </w:tcPr>
          <w:p w14:paraId="5EF85B30" w14:textId="77777777" w:rsidR="00E706A2" w:rsidRPr="00977B91" w:rsidRDefault="00044D73"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Hearings Before the Workers’ Compensation Appeals Board.</w:t>
            </w:r>
          </w:p>
        </w:tc>
      </w:tr>
      <w:tr w:rsidR="00E706A2" w:rsidRPr="00977B91" w14:paraId="0FEB6503" w14:textId="77777777" w:rsidTr="0061209A">
        <w:tc>
          <w:tcPr>
            <w:tcW w:w="930" w:type="pct"/>
            <w:shd w:val="clear" w:color="auto" w:fill="FFFFFF"/>
          </w:tcPr>
          <w:p w14:paraId="3DF0534A"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47B820B7"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10816</w:t>
            </w:r>
          </w:p>
        </w:tc>
        <w:tc>
          <w:tcPr>
            <w:tcW w:w="4070" w:type="pct"/>
            <w:shd w:val="clear" w:color="auto" w:fill="FFFFFF"/>
          </w:tcPr>
          <w:p w14:paraId="7DCBD65B" w14:textId="77777777" w:rsidR="00E706A2" w:rsidRPr="00977B91" w:rsidRDefault="00044D73"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Appearances Before the Workers’ Compensation Appeals Board.</w:t>
            </w:r>
          </w:p>
        </w:tc>
      </w:tr>
      <w:tr w:rsidR="00E706A2" w:rsidRPr="00977B91" w14:paraId="34370C0D" w14:textId="77777777" w:rsidTr="0061209A">
        <w:tc>
          <w:tcPr>
            <w:tcW w:w="930" w:type="pct"/>
            <w:shd w:val="clear" w:color="auto" w:fill="FFFFFF"/>
          </w:tcPr>
          <w:p w14:paraId="548ED29F" w14:textId="77777777" w:rsidR="00F3363B" w:rsidRPr="00F3363B" w:rsidRDefault="00F3363B" w:rsidP="00F3363B">
            <w:pPr>
              <w:spacing w:after="0"/>
              <w:jc w:val="center"/>
              <w:rPr>
                <w:rFonts w:ascii="Palatino Linotype" w:hAnsi="Palatino Linotype"/>
                <w:b/>
                <w:sz w:val="20"/>
                <w:szCs w:val="20"/>
              </w:rPr>
            </w:pPr>
            <w:r w:rsidRPr="00F3363B">
              <w:rPr>
                <w:rFonts w:ascii="Palatino Linotype" w:hAnsi="Palatino Linotype"/>
                <w:b/>
                <w:sz w:val="20"/>
                <w:szCs w:val="20"/>
              </w:rPr>
              <w:t>New Rule</w:t>
            </w:r>
          </w:p>
          <w:p w14:paraId="0632EFE3" w14:textId="77777777" w:rsidR="00E706A2" w:rsidRPr="00977B91" w:rsidRDefault="00F3363B" w:rsidP="00F3363B">
            <w:pPr>
              <w:spacing w:after="120"/>
              <w:jc w:val="center"/>
              <w:rPr>
                <w:rFonts w:ascii="Palatino Linotype" w:hAnsi="Palatino Linotype"/>
                <w:sz w:val="20"/>
                <w:szCs w:val="20"/>
              </w:rPr>
            </w:pPr>
            <w:r>
              <w:rPr>
                <w:rFonts w:ascii="Palatino Linotype" w:hAnsi="Palatino Linotype"/>
                <w:sz w:val="20"/>
                <w:szCs w:val="20"/>
              </w:rPr>
              <w:t>10817</w:t>
            </w:r>
          </w:p>
        </w:tc>
        <w:tc>
          <w:tcPr>
            <w:tcW w:w="4070" w:type="pct"/>
            <w:shd w:val="clear" w:color="auto" w:fill="FFFFFF"/>
          </w:tcPr>
          <w:p w14:paraId="6B298DEF" w14:textId="77777777" w:rsidR="00E706A2" w:rsidRPr="00977B91" w:rsidRDefault="00AC1C5D" w:rsidP="00F76B75">
            <w:pPr>
              <w:jc w:val="center"/>
              <w:rPr>
                <w:rFonts w:ascii="Palatino Linotype" w:hAnsi="Palatino Linotype"/>
                <w:sz w:val="20"/>
                <w:szCs w:val="20"/>
              </w:rPr>
            </w:pPr>
            <w:r>
              <w:rPr>
                <w:rFonts w:ascii="Palatino Linotype" w:hAnsi="Palatino Linotype"/>
                <w:sz w:val="20"/>
                <w:szCs w:val="20"/>
              </w:rPr>
              <w:t>Electronic</w:t>
            </w:r>
            <w:r w:rsidR="00F3363B" w:rsidRPr="00F3363B">
              <w:rPr>
                <w:rFonts w:ascii="Palatino Linotype" w:hAnsi="Palatino Linotype"/>
                <w:sz w:val="20"/>
                <w:szCs w:val="20"/>
              </w:rPr>
              <w:t xml:space="preserve"> Testimony Before the Workers’ Compensation Appeals Board.</w:t>
            </w:r>
          </w:p>
        </w:tc>
      </w:tr>
      <w:tr w:rsidR="00E706A2" w:rsidRPr="00977B91" w14:paraId="28742EFF" w14:textId="77777777" w:rsidTr="0061209A">
        <w:tc>
          <w:tcPr>
            <w:tcW w:w="930" w:type="pct"/>
            <w:shd w:val="clear" w:color="auto" w:fill="FFFFFF"/>
          </w:tcPr>
          <w:p w14:paraId="3ED61CE0" w14:textId="77777777" w:rsidR="00E706A2" w:rsidRPr="00977B91" w:rsidRDefault="00F3363B" w:rsidP="00F76B75">
            <w:pPr>
              <w:jc w:val="center"/>
              <w:rPr>
                <w:rFonts w:ascii="Palatino Linotype" w:hAnsi="Palatino Linotype"/>
                <w:sz w:val="20"/>
                <w:szCs w:val="20"/>
              </w:rPr>
            </w:pPr>
            <w:r>
              <w:rPr>
                <w:rFonts w:ascii="Palatino Linotype" w:hAnsi="Palatino Linotype"/>
                <w:sz w:val="20"/>
                <w:szCs w:val="20"/>
              </w:rPr>
              <w:lastRenderedPageBreak/>
              <w:t>10818</w:t>
            </w:r>
          </w:p>
        </w:tc>
        <w:tc>
          <w:tcPr>
            <w:tcW w:w="4070" w:type="pct"/>
            <w:shd w:val="clear" w:color="auto" w:fill="FFFFFF"/>
          </w:tcPr>
          <w:p w14:paraId="371E8229" w14:textId="77777777" w:rsidR="00E706A2" w:rsidRPr="00977B91" w:rsidRDefault="00F3363B" w:rsidP="00F76B75">
            <w:pPr>
              <w:jc w:val="center"/>
              <w:rPr>
                <w:rFonts w:ascii="Palatino Linotype" w:hAnsi="Palatino Linotype"/>
                <w:sz w:val="20"/>
                <w:szCs w:val="20"/>
              </w:rPr>
            </w:pPr>
            <w:r w:rsidRPr="00F3363B">
              <w:rPr>
                <w:rFonts w:ascii="Palatino Linotype" w:hAnsi="Palatino Linotype"/>
                <w:sz w:val="20"/>
                <w:szCs w:val="20"/>
              </w:rPr>
              <w:t>Recording of Proceedings.</w:t>
            </w:r>
          </w:p>
        </w:tc>
      </w:tr>
      <w:tr w:rsidR="00AD0579" w:rsidRPr="00977B91" w14:paraId="52F87CE9" w14:textId="77777777" w:rsidTr="0061209A">
        <w:tc>
          <w:tcPr>
            <w:tcW w:w="930" w:type="pct"/>
            <w:shd w:val="clear" w:color="auto" w:fill="FFFFFF"/>
          </w:tcPr>
          <w:p w14:paraId="0C3BA6C9" w14:textId="77777777" w:rsidR="00AD0579" w:rsidRDefault="00044D73" w:rsidP="00F76B75">
            <w:pPr>
              <w:jc w:val="center"/>
              <w:rPr>
                <w:rFonts w:ascii="Palatino Linotype" w:hAnsi="Palatino Linotype"/>
                <w:sz w:val="20"/>
                <w:szCs w:val="20"/>
              </w:rPr>
            </w:pPr>
            <w:r>
              <w:rPr>
                <w:rFonts w:ascii="Palatino Linotype" w:hAnsi="Palatino Linotype"/>
                <w:sz w:val="20"/>
                <w:szCs w:val="20"/>
              </w:rPr>
              <w:t>1083</w:t>
            </w:r>
            <w:r w:rsidR="00AD0579">
              <w:rPr>
                <w:rFonts w:ascii="Palatino Linotype" w:hAnsi="Palatino Linotype"/>
                <w:sz w:val="20"/>
                <w:szCs w:val="20"/>
              </w:rPr>
              <w:t>2</w:t>
            </w:r>
          </w:p>
        </w:tc>
        <w:tc>
          <w:tcPr>
            <w:tcW w:w="4070" w:type="pct"/>
            <w:shd w:val="clear" w:color="auto" w:fill="FFFFFF"/>
          </w:tcPr>
          <w:p w14:paraId="677A1EB2" w14:textId="77777777" w:rsidR="00AD0579" w:rsidRPr="00F3363B" w:rsidRDefault="00044D73" w:rsidP="00F76B75">
            <w:pPr>
              <w:jc w:val="center"/>
              <w:rPr>
                <w:rFonts w:ascii="Palatino Linotype" w:hAnsi="Palatino Linotype"/>
                <w:sz w:val="20"/>
                <w:szCs w:val="20"/>
              </w:rPr>
            </w:pPr>
            <w:r w:rsidRPr="00044D73">
              <w:rPr>
                <w:rFonts w:ascii="Palatino Linotype" w:hAnsi="Palatino Linotype"/>
                <w:sz w:val="20"/>
                <w:szCs w:val="20"/>
              </w:rPr>
              <w:t>Notices of Intention and Orders after Notices of Intention.</w:t>
            </w:r>
          </w:p>
        </w:tc>
      </w:tr>
      <w:tr w:rsidR="008234D0" w:rsidRPr="00977B91" w14:paraId="5667BE86" w14:textId="77777777" w:rsidTr="0061209A">
        <w:tc>
          <w:tcPr>
            <w:tcW w:w="930" w:type="pct"/>
            <w:shd w:val="clear" w:color="auto" w:fill="FFFFFF"/>
          </w:tcPr>
          <w:p w14:paraId="21DCE637" w14:textId="77777777" w:rsidR="008234D0" w:rsidRDefault="008234D0" w:rsidP="00F76B75">
            <w:pPr>
              <w:jc w:val="center"/>
              <w:rPr>
                <w:rFonts w:ascii="Palatino Linotype" w:hAnsi="Palatino Linotype"/>
                <w:sz w:val="20"/>
                <w:szCs w:val="20"/>
              </w:rPr>
            </w:pPr>
            <w:r>
              <w:rPr>
                <w:rFonts w:ascii="Palatino Linotype" w:hAnsi="Palatino Linotype"/>
                <w:sz w:val="20"/>
                <w:szCs w:val="20"/>
              </w:rPr>
              <w:t>10862</w:t>
            </w:r>
          </w:p>
        </w:tc>
        <w:tc>
          <w:tcPr>
            <w:tcW w:w="4070" w:type="pct"/>
            <w:shd w:val="clear" w:color="auto" w:fill="FFFFFF"/>
          </w:tcPr>
          <w:p w14:paraId="32789137" w14:textId="77777777" w:rsidR="008234D0" w:rsidRPr="00044D73" w:rsidRDefault="008234D0" w:rsidP="00F76B75">
            <w:pPr>
              <w:jc w:val="center"/>
              <w:rPr>
                <w:rFonts w:ascii="Palatino Linotype" w:hAnsi="Palatino Linotype"/>
                <w:sz w:val="20"/>
                <w:szCs w:val="20"/>
              </w:rPr>
            </w:pPr>
            <w:r w:rsidRPr="008234D0">
              <w:rPr>
                <w:rFonts w:ascii="Palatino Linotype" w:hAnsi="Palatino Linotype"/>
                <w:sz w:val="20"/>
                <w:szCs w:val="20"/>
              </w:rPr>
              <w:t>Filing and Service of Lien Claims and Supporting Documents.</w:t>
            </w:r>
          </w:p>
        </w:tc>
      </w:tr>
    </w:tbl>
    <w:p w14:paraId="650508D3" w14:textId="77777777" w:rsidR="0096730B" w:rsidRPr="00977B91" w:rsidRDefault="0096730B" w:rsidP="00BF2B99">
      <w:pPr>
        <w:rPr>
          <w:rFonts w:ascii="Palatino Linotype" w:hAnsi="Palatino Linotype"/>
          <w:sz w:val="20"/>
          <w:szCs w:val="20"/>
        </w:rPr>
      </w:pPr>
    </w:p>
    <w:p w14:paraId="0D3060F2" w14:textId="77777777" w:rsidR="009D6BE8" w:rsidRPr="00A426B4" w:rsidRDefault="00355359" w:rsidP="00A426B4">
      <w:pPr>
        <w:pStyle w:val="Heading4"/>
      </w:pPr>
      <w:r w:rsidRPr="00A426B4">
        <w:t xml:space="preserve">Rule Amended: </w:t>
      </w:r>
      <w:bookmarkStart w:id="8" w:name="Rule10305_Definitions"/>
      <w:r w:rsidRPr="00A426B4">
        <w:t>10305 “</w:t>
      </w:r>
      <w:r w:rsidR="00E70D03" w:rsidRPr="00A426B4">
        <w:t>Definitions.”</w:t>
      </w:r>
      <w:bookmarkEnd w:id="8"/>
    </w:p>
    <w:p w14:paraId="1403D2AC" w14:textId="77777777" w:rsidR="00E70D03" w:rsidRPr="00A426B4" w:rsidRDefault="00E70D03" w:rsidP="00A426B4">
      <w:pPr>
        <w:pStyle w:val="Heading5"/>
      </w:pPr>
      <w:r w:rsidRPr="00A426B4">
        <w:t>Statement of Specific Purpose and Reasons for Proposed Amendments of r</w:t>
      </w:r>
      <w:r w:rsidR="009247A3" w:rsidRPr="00A426B4">
        <w:t>ule 10305</w:t>
      </w:r>
      <w:r w:rsidR="00FC0AB2" w:rsidRPr="00A426B4">
        <w:t>.</w:t>
      </w:r>
    </w:p>
    <w:p w14:paraId="71B5D125" w14:textId="77777777" w:rsidR="00F21D8A" w:rsidRDefault="001E6992" w:rsidP="004E3392">
      <w:pPr>
        <w:jc w:val="both"/>
        <w:rPr>
          <w:rFonts w:ascii="Palatino Linotype" w:hAnsi="Palatino Linotype"/>
          <w:sz w:val="20"/>
          <w:szCs w:val="20"/>
        </w:rPr>
      </w:pPr>
      <w:r>
        <w:rPr>
          <w:rFonts w:ascii="Palatino Linotype" w:hAnsi="Palatino Linotype"/>
          <w:sz w:val="20"/>
          <w:szCs w:val="20"/>
        </w:rPr>
        <w:t>We propose adding</w:t>
      </w:r>
      <w:r w:rsidR="00F21D8A" w:rsidRPr="00977B91">
        <w:rPr>
          <w:rFonts w:ascii="Palatino Linotype" w:hAnsi="Palatino Linotype"/>
          <w:sz w:val="20"/>
          <w:szCs w:val="20"/>
        </w:rPr>
        <w:t xml:space="preserve"> </w:t>
      </w:r>
      <w:r w:rsidR="001E246B">
        <w:rPr>
          <w:rFonts w:ascii="Palatino Linotype" w:hAnsi="Palatino Linotype"/>
          <w:sz w:val="20"/>
          <w:szCs w:val="20"/>
        </w:rPr>
        <w:t xml:space="preserve">new </w:t>
      </w:r>
      <w:r w:rsidR="00F21D8A" w:rsidRPr="00977B91">
        <w:rPr>
          <w:rFonts w:ascii="Palatino Linotype" w:hAnsi="Palatino Linotype"/>
          <w:sz w:val="20"/>
          <w:szCs w:val="20"/>
        </w:rPr>
        <w:t>definition</w:t>
      </w:r>
      <w:r>
        <w:rPr>
          <w:rFonts w:ascii="Palatino Linotype" w:hAnsi="Palatino Linotype"/>
          <w:sz w:val="20"/>
          <w:szCs w:val="20"/>
        </w:rPr>
        <w:t>s</w:t>
      </w:r>
      <w:r w:rsidR="00F21D8A" w:rsidRPr="00977B91">
        <w:rPr>
          <w:rFonts w:ascii="Palatino Linotype" w:hAnsi="Palatino Linotype"/>
          <w:sz w:val="20"/>
          <w:szCs w:val="20"/>
        </w:rPr>
        <w:t xml:space="preserve"> of “</w:t>
      </w:r>
      <w:r w:rsidR="001E246B">
        <w:rPr>
          <w:rFonts w:ascii="Palatino Linotype" w:hAnsi="Palatino Linotype"/>
          <w:sz w:val="20"/>
          <w:szCs w:val="20"/>
        </w:rPr>
        <w:t>Electronic</w:t>
      </w:r>
      <w:r>
        <w:rPr>
          <w:rFonts w:ascii="Palatino Linotype" w:hAnsi="Palatino Linotype"/>
          <w:sz w:val="20"/>
          <w:szCs w:val="20"/>
        </w:rPr>
        <w:t>,</w:t>
      </w:r>
      <w:r w:rsidR="00F21D8A" w:rsidRPr="00977B91">
        <w:rPr>
          <w:rFonts w:ascii="Palatino Linotype" w:hAnsi="Palatino Linotype"/>
          <w:sz w:val="20"/>
          <w:szCs w:val="20"/>
        </w:rPr>
        <w:t>”</w:t>
      </w:r>
      <w:r>
        <w:rPr>
          <w:rFonts w:ascii="Palatino Linotype" w:hAnsi="Palatino Linotype"/>
          <w:sz w:val="20"/>
          <w:szCs w:val="20"/>
        </w:rPr>
        <w:t xml:space="preserve"> “</w:t>
      </w:r>
      <w:r w:rsidR="001E246B">
        <w:rPr>
          <w:rFonts w:ascii="Palatino Linotype" w:hAnsi="Palatino Linotype"/>
          <w:sz w:val="20"/>
          <w:szCs w:val="20"/>
        </w:rPr>
        <w:t>Filing</w:t>
      </w:r>
      <w:r>
        <w:rPr>
          <w:rFonts w:ascii="Palatino Linotype" w:hAnsi="Palatino Linotype"/>
          <w:sz w:val="20"/>
          <w:szCs w:val="20"/>
        </w:rPr>
        <w:t>,” and “</w:t>
      </w:r>
      <w:r w:rsidR="001E246B">
        <w:rPr>
          <w:rFonts w:ascii="Palatino Linotype" w:hAnsi="Palatino Linotype"/>
          <w:sz w:val="20"/>
          <w:szCs w:val="20"/>
        </w:rPr>
        <w:t>Service</w:t>
      </w:r>
      <w:r>
        <w:rPr>
          <w:rFonts w:ascii="Palatino Linotype" w:hAnsi="Palatino Linotype"/>
          <w:sz w:val="20"/>
          <w:szCs w:val="20"/>
        </w:rPr>
        <w:t xml:space="preserve">” </w:t>
      </w:r>
      <w:r w:rsidR="00071432">
        <w:rPr>
          <w:rFonts w:ascii="Palatino Linotype" w:hAnsi="Palatino Linotype"/>
          <w:sz w:val="20"/>
          <w:szCs w:val="20"/>
        </w:rPr>
        <w:t>as part of the rules governing electronic filing and service.  These definitions will provide necessary clarity and guidance to practitioners filing and serving documents electronically.</w:t>
      </w:r>
    </w:p>
    <w:p w14:paraId="67256F47" w14:textId="77777777" w:rsidR="00C54BA9" w:rsidRPr="00977B91" w:rsidRDefault="00071432" w:rsidP="00071432">
      <w:pPr>
        <w:jc w:val="both"/>
        <w:rPr>
          <w:rFonts w:ascii="Palatino Linotype" w:hAnsi="Palatino Linotype"/>
          <w:sz w:val="20"/>
          <w:szCs w:val="20"/>
        </w:rPr>
      </w:pPr>
      <w:r>
        <w:rPr>
          <w:rFonts w:ascii="Palatino Linotype" w:hAnsi="Palatino Linotype"/>
          <w:sz w:val="20"/>
          <w:szCs w:val="20"/>
        </w:rPr>
        <w:t>We propose adding definitions of “</w:t>
      </w:r>
      <w:r w:rsidR="001E246B">
        <w:rPr>
          <w:rFonts w:ascii="Palatino Linotype" w:hAnsi="Palatino Linotype"/>
          <w:sz w:val="20"/>
          <w:szCs w:val="20"/>
        </w:rPr>
        <w:t>A</w:t>
      </w:r>
      <w:r>
        <w:rPr>
          <w:rFonts w:ascii="Palatino Linotype" w:hAnsi="Palatino Linotype"/>
          <w:sz w:val="20"/>
          <w:szCs w:val="20"/>
        </w:rPr>
        <w:t>ppearance,” “</w:t>
      </w:r>
      <w:r w:rsidR="001E246B">
        <w:rPr>
          <w:rFonts w:ascii="Palatino Linotype" w:hAnsi="Palatino Linotype"/>
          <w:sz w:val="20"/>
          <w:szCs w:val="20"/>
        </w:rPr>
        <w:t>H</w:t>
      </w:r>
      <w:r>
        <w:rPr>
          <w:rFonts w:ascii="Palatino Linotype" w:hAnsi="Palatino Linotype"/>
          <w:sz w:val="20"/>
          <w:szCs w:val="20"/>
        </w:rPr>
        <w:t>earing,” and “</w:t>
      </w:r>
      <w:r w:rsidR="001E246B">
        <w:rPr>
          <w:rFonts w:ascii="Palatino Linotype" w:hAnsi="Palatino Linotype"/>
          <w:sz w:val="20"/>
          <w:szCs w:val="20"/>
        </w:rPr>
        <w:t>T</w:t>
      </w:r>
      <w:r>
        <w:rPr>
          <w:rFonts w:ascii="Palatino Linotype" w:hAnsi="Palatino Linotype"/>
          <w:sz w:val="20"/>
          <w:szCs w:val="20"/>
        </w:rPr>
        <w:t xml:space="preserve">estimony” as part of the rules governing remote hearings.  These definitions will </w:t>
      </w:r>
      <w:r w:rsidR="00932A85">
        <w:rPr>
          <w:rFonts w:ascii="Palatino Linotype" w:hAnsi="Palatino Linotype"/>
          <w:sz w:val="20"/>
          <w:szCs w:val="20"/>
        </w:rPr>
        <w:t>provide necessary clarity and guidance to practitioners seeking to appear or testify remotely or take part in remote hearings.</w:t>
      </w:r>
    </w:p>
    <w:p w14:paraId="222AD3EE" w14:textId="77777777" w:rsidR="0067139A" w:rsidRPr="00A426B4" w:rsidRDefault="0067139A" w:rsidP="00A426B4">
      <w:pPr>
        <w:pStyle w:val="Heading4"/>
      </w:pPr>
      <w:r w:rsidRPr="00A426B4">
        <w:t xml:space="preserve">Rule Amended: </w:t>
      </w:r>
      <w:bookmarkStart w:id="9" w:name="Rule10400_AttorneyRepresentatives"/>
      <w:r w:rsidRPr="00A426B4">
        <w:t>10400 “Attorney Representatives.”</w:t>
      </w:r>
      <w:bookmarkEnd w:id="9"/>
    </w:p>
    <w:p w14:paraId="601122D5" w14:textId="77777777" w:rsidR="0067139A" w:rsidRPr="00A426B4" w:rsidRDefault="0067139A" w:rsidP="00A426B4">
      <w:pPr>
        <w:pStyle w:val="Heading5"/>
      </w:pPr>
      <w:r w:rsidRPr="00A426B4">
        <w:t>Statement of Specific Purpose and Reasons for Proposed Amendments of r</w:t>
      </w:r>
      <w:r w:rsidR="003667F0" w:rsidRPr="00A426B4">
        <w:t>ule 10400</w:t>
      </w:r>
      <w:r w:rsidRPr="00A426B4">
        <w:t>.</w:t>
      </w:r>
    </w:p>
    <w:p w14:paraId="0C722943" w14:textId="77777777" w:rsidR="0067139A" w:rsidRDefault="00F111D1" w:rsidP="0067139A">
      <w:pPr>
        <w:jc w:val="both"/>
        <w:rPr>
          <w:rFonts w:ascii="Palatino Linotype" w:hAnsi="Palatino Linotype"/>
          <w:sz w:val="20"/>
          <w:szCs w:val="20"/>
        </w:rPr>
      </w:pPr>
      <w:r>
        <w:rPr>
          <w:rFonts w:ascii="Palatino Linotype" w:hAnsi="Palatino Linotype"/>
          <w:sz w:val="20"/>
          <w:szCs w:val="20"/>
        </w:rPr>
        <w:t>To facilitate electronic service, w</w:t>
      </w:r>
      <w:r w:rsidR="0067139A">
        <w:rPr>
          <w:rFonts w:ascii="Palatino Linotype" w:hAnsi="Palatino Linotype"/>
          <w:sz w:val="20"/>
          <w:szCs w:val="20"/>
        </w:rPr>
        <w:t xml:space="preserve">e propose </w:t>
      </w:r>
      <w:r>
        <w:rPr>
          <w:rFonts w:ascii="Palatino Linotype" w:hAnsi="Palatino Linotype"/>
          <w:sz w:val="20"/>
          <w:szCs w:val="20"/>
        </w:rPr>
        <w:t xml:space="preserve">amending rule 10400 to require that attorney representatives include an </w:t>
      </w:r>
      <w:r w:rsidR="001A3A68">
        <w:rPr>
          <w:rFonts w:ascii="Palatino Linotype" w:hAnsi="Palatino Linotype"/>
          <w:sz w:val="20"/>
          <w:szCs w:val="20"/>
        </w:rPr>
        <w:t xml:space="preserve">email </w:t>
      </w:r>
      <w:r>
        <w:rPr>
          <w:rFonts w:ascii="Palatino Linotype" w:hAnsi="Palatino Linotype"/>
          <w:sz w:val="20"/>
          <w:szCs w:val="20"/>
        </w:rPr>
        <w:t>address in the notice of representation required by rule 10400.</w:t>
      </w:r>
    </w:p>
    <w:p w14:paraId="12A5A7B0" w14:textId="77777777" w:rsidR="0067139A" w:rsidRPr="00A426B4" w:rsidRDefault="0067139A" w:rsidP="00A426B4">
      <w:pPr>
        <w:pStyle w:val="Heading4"/>
      </w:pPr>
      <w:r w:rsidRPr="00A426B4">
        <w:t xml:space="preserve">Rule Amended: </w:t>
      </w:r>
      <w:bookmarkStart w:id="10" w:name="Rule10401_NonAttorneyRepresentatives"/>
      <w:r w:rsidRPr="00A426B4">
        <w:t>10401 “Non-Attorney Representatives.”</w:t>
      </w:r>
      <w:bookmarkEnd w:id="10"/>
    </w:p>
    <w:p w14:paraId="781ED530" w14:textId="77777777" w:rsidR="0067139A" w:rsidRPr="00A426B4" w:rsidRDefault="0067139A" w:rsidP="00A426B4">
      <w:pPr>
        <w:pStyle w:val="Heading5"/>
      </w:pPr>
      <w:r w:rsidRPr="00A426B4">
        <w:t>Statement of Specific Purpose and Reasons for Proposed Amendments of r</w:t>
      </w:r>
      <w:r w:rsidR="003667F0" w:rsidRPr="00A426B4">
        <w:t>ule 10401</w:t>
      </w:r>
      <w:r w:rsidRPr="00A426B4">
        <w:t>.</w:t>
      </w:r>
    </w:p>
    <w:p w14:paraId="51E592DD" w14:textId="77777777" w:rsidR="0067139A" w:rsidRDefault="000819F2" w:rsidP="0067139A">
      <w:pPr>
        <w:jc w:val="both"/>
        <w:rPr>
          <w:rFonts w:ascii="Palatino Linotype" w:hAnsi="Palatino Linotype"/>
          <w:sz w:val="20"/>
          <w:szCs w:val="20"/>
        </w:rPr>
      </w:pPr>
      <w:r>
        <w:rPr>
          <w:rFonts w:ascii="Palatino Linotype" w:hAnsi="Palatino Linotype"/>
          <w:sz w:val="20"/>
          <w:szCs w:val="20"/>
        </w:rPr>
        <w:t>In the workers’ compensation system, non-attorney representatives are held to the same standards of conduct as attorneys.  Accordingly, t</w:t>
      </w:r>
      <w:r w:rsidR="00F111D1">
        <w:rPr>
          <w:rFonts w:ascii="Palatino Linotype" w:hAnsi="Palatino Linotype"/>
          <w:sz w:val="20"/>
          <w:szCs w:val="20"/>
        </w:rPr>
        <w:t xml:space="preserve">o facilitate electronic service, we propose amending rule 10401 to require that non-attorney representatives </w:t>
      </w:r>
      <w:r>
        <w:rPr>
          <w:rFonts w:ascii="Palatino Linotype" w:hAnsi="Palatino Linotype"/>
          <w:sz w:val="20"/>
          <w:szCs w:val="20"/>
        </w:rPr>
        <w:t xml:space="preserve">also must </w:t>
      </w:r>
      <w:r w:rsidR="00F111D1">
        <w:rPr>
          <w:rFonts w:ascii="Palatino Linotype" w:hAnsi="Palatino Linotype"/>
          <w:sz w:val="20"/>
          <w:szCs w:val="20"/>
        </w:rPr>
        <w:t xml:space="preserve">include an </w:t>
      </w:r>
      <w:r w:rsidR="001A3A68">
        <w:rPr>
          <w:rFonts w:ascii="Palatino Linotype" w:hAnsi="Palatino Linotype"/>
          <w:sz w:val="20"/>
          <w:szCs w:val="20"/>
        </w:rPr>
        <w:t xml:space="preserve">email </w:t>
      </w:r>
      <w:r w:rsidR="00F111D1">
        <w:rPr>
          <w:rFonts w:ascii="Palatino Linotype" w:hAnsi="Palatino Linotype"/>
          <w:sz w:val="20"/>
          <w:szCs w:val="20"/>
        </w:rPr>
        <w:t>address in the notice of represe</w:t>
      </w:r>
      <w:r w:rsidR="001E246B">
        <w:rPr>
          <w:rFonts w:ascii="Palatino Linotype" w:hAnsi="Palatino Linotype"/>
          <w:sz w:val="20"/>
          <w:szCs w:val="20"/>
        </w:rPr>
        <w:t>ntation required by rule 10401.</w:t>
      </w:r>
    </w:p>
    <w:p w14:paraId="6F400F02" w14:textId="77777777" w:rsidR="00AD0579" w:rsidRPr="00A426B4" w:rsidRDefault="00AD0579" w:rsidP="00A426B4">
      <w:pPr>
        <w:pStyle w:val="Heading4"/>
      </w:pPr>
      <w:r w:rsidRPr="00A426B4">
        <w:t xml:space="preserve">Rule Amended: </w:t>
      </w:r>
      <w:bookmarkStart w:id="11" w:name="Rule10404_4907Suspension"/>
      <w:r w:rsidRPr="00A426B4">
        <w:t>10404 “Suspension and Removal of a Non-Attorney Representative's Privilege to Appear Before the Workers' Compensation Appeals Board Under Labor Code Section 4907.”</w:t>
      </w:r>
      <w:bookmarkEnd w:id="11"/>
    </w:p>
    <w:p w14:paraId="078CC10E" w14:textId="77777777" w:rsidR="00AD0579" w:rsidRPr="00A426B4" w:rsidRDefault="00AD0579" w:rsidP="00A426B4">
      <w:pPr>
        <w:pStyle w:val="Heading5"/>
      </w:pPr>
      <w:r w:rsidRPr="00A426B4">
        <w:t>Statement of Specific Purpose and Reasons for Proposed Amendments of r</w:t>
      </w:r>
      <w:r w:rsidR="003667F0" w:rsidRPr="00A426B4">
        <w:t>ule 10404</w:t>
      </w:r>
      <w:r w:rsidRPr="00A426B4">
        <w:t>.</w:t>
      </w:r>
    </w:p>
    <w:p w14:paraId="3DD6FD58" w14:textId="77777777" w:rsidR="00AD0579" w:rsidRDefault="00AD0579" w:rsidP="00AD0579">
      <w:pPr>
        <w:jc w:val="both"/>
        <w:rPr>
          <w:rFonts w:ascii="Palatino Linotype" w:hAnsi="Palatino Linotype"/>
          <w:sz w:val="20"/>
          <w:szCs w:val="20"/>
        </w:rPr>
      </w:pPr>
      <w:r>
        <w:rPr>
          <w:rFonts w:ascii="Palatino Linotype" w:hAnsi="Palatino Linotype"/>
          <w:sz w:val="20"/>
          <w:szCs w:val="20"/>
        </w:rPr>
        <w:t xml:space="preserve">We propose </w:t>
      </w:r>
      <w:r w:rsidR="00A06711">
        <w:rPr>
          <w:rFonts w:ascii="Palatino Linotype" w:hAnsi="Palatino Linotype"/>
          <w:sz w:val="20"/>
          <w:szCs w:val="20"/>
        </w:rPr>
        <w:t>amending rule 10404 to correct a typographical error, so that subdivision (b) cross-references rule 10401 instead of rule 10400.</w:t>
      </w:r>
    </w:p>
    <w:p w14:paraId="7BC1E8D7" w14:textId="77777777" w:rsidR="00C509BD" w:rsidRPr="00A426B4" w:rsidRDefault="00C509BD" w:rsidP="00A426B4">
      <w:pPr>
        <w:pStyle w:val="Heading4"/>
      </w:pPr>
      <w:r w:rsidRPr="00A426B4">
        <w:lastRenderedPageBreak/>
        <w:t xml:space="preserve">Rule Amended: </w:t>
      </w:r>
      <w:bookmarkStart w:id="12" w:name="Rule10462_SIBTF"/>
      <w:r w:rsidRPr="00A426B4">
        <w:t>10462 “Subsequent Injuries Benefits Trust Fund Application.”</w:t>
      </w:r>
      <w:bookmarkEnd w:id="12"/>
    </w:p>
    <w:p w14:paraId="590E7212" w14:textId="77777777" w:rsidR="00C509BD" w:rsidRPr="00A426B4" w:rsidRDefault="00C509BD" w:rsidP="00A426B4">
      <w:pPr>
        <w:pStyle w:val="Heading5"/>
      </w:pPr>
      <w:r w:rsidRPr="00A426B4">
        <w:t>Statement of Specific Purpose and Reasons for Proposed Amendments of rule 10</w:t>
      </w:r>
      <w:r w:rsidR="001A3A68" w:rsidRPr="00A426B4">
        <w:t>462</w:t>
      </w:r>
      <w:r w:rsidRPr="00A426B4">
        <w:t>.</w:t>
      </w:r>
    </w:p>
    <w:p w14:paraId="1A3B0105" w14:textId="77777777" w:rsidR="00C509BD" w:rsidRDefault="00C509BD" w:rsidP="00C509BD">
      <w:pPr>
        <w:jc w:val="both"/>
        <w:rPr>
          <w:rFonts w:ascii="Palatino Linotype" w:hAnsi="Palatino Linotype"/>
          <w:sz w:val="20"/>
          <w:szCs w:val="20"/>
        </w:rPr>
      </w:pPr>
      <w:r>
        <w:rPr>
          <w:rFonts w:ascii="Palatino Linotype" w:hAnsi="Palatino Linotype"/>
          <w:sz w:val="20"/>
          <w:szCs w:val="20"/>
        </w:rPr>
        <w:t>We propose amending rule 10462 to correct a typographical error, so that subdivision (c) cross-references rules 10625 and 10632 instead of rules 10530 and 10540.</w:t>
      </w:r>
      <w:r w:rsidR="001A3A68">
        <w:rPr>
          <w:rFonts w:ascii="Palatino Linotype" w:hAnsi="Palatino Linotype"/>
          <w:sz w:val="20"/>
          <w:szCs w:val="20"/>
        </w:rPr>
        <w:t xml:space="preserve">  We also propose amending rule 10462 substantively to include a requirement that, after the Subsequent Injuries Benefits Trust Fund (SIBTF) is joined in a case, the parties must meet and confer in good faith as to the elements of a claim for benefits from the SIBTF.  A meet and confer requirement will assist the parties and the SIBTF in properly framing </w:t>
      </w:r>
      <w:r w:rsidR="000819F2">
        <w:rPr>
          <w:rFonts w:ascii="Palatino Linotype" w:hAnsi="Palatino Linotype"/>
          <w:sz w:val="20"/>
          <w:szCs w:val="20"/>
        </w:rPr>
        <w:t xml:space="preserve">the issues </w:t>
      </w:r>
      <w:r w:rsidR="001A3A68">
        <w:rPr>
          <w:rFonts w:ascii="Palatino Linotype" w:hAnsi="Palatino Linotype"/>
          <w:sz w:val="20"/>
          <w:szCs w:val="20"/>
        </w:rPr>
        <w:t>and investigating claims for SIBTF benefits in a timely manner</w:t>
      </w:r>
      <w:r w:rsidR="000819F2">
        <w:rPr>
          <w:rFonts w:ascii="Palatino Linotype" w:hAnsi="Palatino Linotype"/>
          <w:sz w:val="20"/>
          <w:szCs w:val="20"/>
        </w:rPr>
        <w:t>, so that such claims can be efficiently and effectively adjudicated</w:t>
      </w:r>
      <w:r w:rsidR="001A3A68">
        <w:rPr>
          <w:rFonts w:ascii="Palatino Linotype" w:hAnsi="Palatino Linotype"/>
          <w:sz w:val="20"/>
          <w:szCs w:val="20"/>
        </w:rPr>
        <w:t>.</w:t>
      </w:r>
    </w:p>
    <w:p w14:paraId="64A2E68B" w14:textId="77777777" w:rsidR="00C75404" w:rsidRPr="00A426B4" w:rsidRDefault="00C75404" w:rsidP="00A426B4">
      <w:pPr>
        <w:pStyle w:val="Heading4"/>
      </w:pPr>
      <w:r w:rsidRPr="00A426B4">
        <w:t xml:space="preserve">Rule Amended: </w:t>
      </w:r>
      <w:bookmarkStart w:id="13" w:name="Rule10550_InactivePetitions"/>
      <w:r w:rsidRPr="00A426B4">
        <w:t>10550 “Petition to Dismiss Inactive Cases.”</w:t>
      </w:r>
      <w:bookmarkEnd w:id="13"/>
    </w:p>
    <w:p w14:paraId="58735882" w14:textId="77777777" w:rsidR="00C75404" w:rsidRPr="00A426B4" w:rsidRDefault="00C75404" w:rsidP="00A426B4">
      <w:pPr>
        <w:pStyle w:val="Heading5"/>
      </w:pPr>
      <w:r w:rsidRPr="00A426B4">
        <w:t>Statement of Specific Purpose and Reasons for Proposed Amendments of r</w:t>
      </w:r>
      <w:r w:rsidR="003667F0" w:rsidRPr="00A426B4">
        <w:t>ule 10</w:t>
      </w:r>
      <w:r w:rsidRPr="00A426B4">
        <w:t>5</w:t>
      </w:r>
      <w:r w:rsidR="003667F0" w:rsidRPr="00A426B4">
        <w:t>50</w:t>
      </w:r>
      <w:r w:rsidRPr="00A426B4">
        <w:t>.</w:t>
      </w:r>
    </w:p>
    <w:p w14:paraId="5C175049" w14:textId="77777777" w:rsidR="00C75404" w:rsidRDefault="00C75404" w:rsidP="00C75404">
      <w:pPr>
        <w:jc w:val="both"/>
        <w:rPr>
          <w:rFonts w:ascii="Palatino Linotype" w:hAnsi="Palatino Linotype"/>
          <w:sz w:val="20"/>
          <w:szCs w:val="20"/>
        </w:rPr>
      </w:pPr>
      <w:r>
        <w:rPr>
          <w:rFonts w:ascii="Palatino Linotype" w:hAnsi="Palatino Linotype"/>
          <w:sz w:val="20"/>
          <w:szCs w:val="20"/>
        </w:rPr>
        <w:t xml:space="preserve">We propose </w:t>
      </w:r>
      <w:r w:rsidR="00A06711">
        <w:rPr>
          <w:rFonts w:ascii="Palatino Linotype" w:hAnsi="Palatino Linotype"/>
          <w:sz w:val="20"/>
          <w:szCs w:val="20"/>
        </w:rPr>
        <w:t>amending rule 10550 to correct a typographical error, so that subdivisions (e)(1) and (e)(2) refer back to subdivision (b) of this rule instead of subdivision (a) of this rule.</w:t>
      </w:r>
    </w:p>
    <w:p w14:paraId="056FF14A" w14:textId="77777777" w:rsidR="001E246B" w:rsidRPr="00A426B4" w:rsidRDefault="001E246B" w:rsidP="00A426B4">
      <w:pPr>
        <w:pStyle w:val="Heading4"/>
      </w:pPr>
      <w:r w:rsidRPr="00A426B4">
        <w:t xml:space="preserve">Rule Amended: </w:t>
      </w:r>
      <w:bookmarkStart w:id="14" w:name="Rule10610_FilingAndService"/>
      <w:r w:rsidRPr="00A426B4">
        <w:t>10610 “Filing and Service of Documents.”</w:t>
      </w:r>
      <w:bookmarkEnd w:id="14"/>
    </w:p>
    <w:p w14:paraId="32886585" w14:textId="77777777" w:rsidR="001E246B" w:rsidRPr="00A426B4" w:rsidRDefault="001E246B" w:rsidP="00A426B4">
      <w:pPr>
        <w:pStyle w:val="Heading5"/>
      </w:pPr>
      <w:r w:rsidRPr="00A426B4">
        <w:t>Statement of Specific Purpose and Reasons for Proposed Amendments of rule 1061</w:t>
      </w:r>
      <w:r w:rsidR="00F95796" w:rsidRPr="00A426B4">
        <w:t>0</w:t>
      </w:r>
      <w:r w:rsidRPr="00A426B4">
        <w:t>.</w:t>
      </w:r>
    </w:p>
    <w:p w14:paraId="35AB7DA7" w14:textId="77777777" w:rsidR="001E246B" w:rsidRDefault="001E246B" w:rsidP="001E246B">
      <w:pPr>
        <w:jc w:val="both"/>
        <w:rPr>
          <w:rFonts w:ascii="Palatino Linotype" w:hAnsi="Palatino Linotype"/>
          <w:sz w:val="20"/>
          <w:szCs w:val="20"/>
        </w:rPr>
      </w:pPr>
      <w:r>
        <w:rPr>
          <w:rFonts w:ascii="Palatino Linotype" w:hAnsi="Palatino Linotype"/>
          <w:sz w:val="20"/>
          <w:szCs w:val="20"/>
        </w:rPr>
        <w:t xml:space="preserve">We propose </w:t>
      </w:r>
      <w:r w:rsidR="00F95796">
        <w:rPr>
          <w:rFonts w:ascii="Palatino Linotype" w:hAnsi="Palatino Linotype"/>
          <w:sz w:val="20"/>
          <w:szCs w:val="20"/>
        </w:rPr>
        <w:t xml:space="preserve">amending rule 10610 to remove redundant language that is already contained in rules 10615 and 10625, and replacing that language with cross-references to rules 10615 and 10625.  This will make the language more clear and concise, </w:t>
      </w:r>
      <w:r w:rsidR="000819F2">
        <w:rPr>
          <w:rFonts w:ascii="Palatino Linotype" w:hAnsi="Palatino Linotype"/>
          <w:sz w:val="20"/>
          <w:szCs w:val="20"/>
        </w:rPr>
        <w:t xml:space="preserve">and will </w:t>
      </w:r>
      <w:r w:rsidR="00F95796">
        <w:rPr>
          <w:rFonts w:ascii="Palatino Linotype" w:hAnsi="Palatino Linotype"/>
          <w:sz w:val="20"/>
          <w:szCs w:val="20"/>
        </w:rPr>
        <w:t>prov</w:t>
      </w:r>
      <w:r w:rsidR="000819F2">
        <w:rPr>
          <w:rFonts w:ascii="Palatino Linotype" w:hAnsi="Palatino Linotype"/>
          <w:sz w:val="20"/>
          <w:szCs w:val="20"/>
        </w:rPr>
        <w:t>ide</w:t>
      </w:r>
      <w:r w:rsidR="00F95796">
        <w:rPr>
          <w:rFonts w:ascii="Palatino Linotype" w:hAnsi="Palatino Linotype"/>
          <w:sz w:val="20"/>
          <w:szCs w:val="20"/>
        </w:rPr>
        <w:t xml:space="preserve"> more helpful guidance to practitioners. </w:t>
      </w:r>
    </w:p>
    <w:p w14:paraId="0F003D72" w14:textId="77777777" w:rsidR="0067139A" w:rsidRPr="00A426B4" w:rsidRDefault="0067139A" w:rsidP="00A426B4">
      <w:pPr>
        <w:pStyle w:val="Heading4"/>
      </w:pPr>
      <w:r w:rsidRPr="00A426B4">
        <w:t xml:space="preserve">Rule Amended: </w:t>
      </w:r>
      <w:bookmarkStart w:id="15" w:name="Rule10615_Filing"/>
      <w:r w:rsidRPr="00A426B4">
        <w:t>10615 “</w:t>
      </w:r>
      <w:r w:rsidR="00B4697D" w:rsidRPr="00A426B4">
        <w:t>Filing</w:t>
      </w:r>
      <w:r w:rsidR="00945F46" w:rsidRPr="00A426B4">
        <w:t xml:space="preserve"> </w:t>
      </w:r>
      <w:r w:rsidRPr="00A426B4">
        <w:t>of Documents.”</w:t>
      </w:r>
      <w:bookmarkEnd w:id="15"/>
    </w:p>
    <w:p w14:paraId="174206B9" w14:textId="77777777" w:rsidR="0067139A" w:rsidRPr="00A426B4" w:rsidRDefault="0067139A" w:rsidP="00A426B4">
      <w:pPr>
        <w:pStyle w:val="Heading5"/>
      </w:pPr>
      <w:r w:rsidRPr="00A426B4">
        <w:t>Statement of Specific Purpose and Reasons for Proposed Amendments of r</w:t>
      </w:r>
      <w:r w:rsidR="003667F0" w:rsidRPr="00A426B4">
        <w:t>ule 1061</w:t>
      </w:r>
      <w:r w:rsidRPr="00A426B4">
        <w:t>5.</w:t>
      </w:r>
    </w:p>
    <w:p w14:paraId="5B08A58C"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AD259F">
        <w:rPr>
          <w:rFonts w:ascii="Palatino Linotype" w:hAnsi="Palatino Linotype"/>
          <w:sz w:val="20"/>
          <w:szCs w:val="20"/>
        </w:rPr>
        <w:t xml:space="preserve">amending rule 10615 to </w:t>
      </w:r>
      <w:r w:rsidR="00B4697D">
        <w:rPr>
          <w:rFonts w:ascii="Palatino Linotype" w:hAnsi="Palatino Linotype"/>
          <w:sz w:val="20"/>
          <w:szCs w:val="20"/>
        </w:rPr>
        <w:t xml:space="preserve">revise </w:t>
      </w:r>
      <w:r w:rsidR="00AD259F">
        <w:rPr>
          <w:rFonts w:ascii="Palatino Linotype" w:hAnsi="Palatino Linotype"/>
          <w:sz w:val="20"/>
          <w:szCs w:val="20"/>
        </w:rPr>
        <w:t xml:space="preserve">the prefatory language </w:t>
      </w:r>
      <w:r w:rsidR="000819F2">
        <w:rPr>
          <w:rFonts w:ascii="Palatino Linotype" w:hAnsi="Palatino Linotype"/>
          <w:sz w:val="20"/>
          <w:szCs w:val="20"/>
        </w:rPr>
        <w:t xml:space="preserve">and reorganize it as a distinct subdivision </w:t>
      </w:r>
      <w:r w:rsidR="00B4697D">
        <w:rPr>
          <w:rFonts w:ascii="Palatino Linotype" w:hAnsi="Palatino Linotype"/>
          <w:sz w:val="20"/>
          <w:szCs w:val="20"/>
        </w:rPr>
        <w:t>according to style.  W</w:t>
      </w:r>
      <w:r w:rsidR="00AD259F">
        <w:rPr>
          <w:rFonts w:ascii="Palatino Linotype" w:hAnsi="Palatino Linotype"/>
          <w:sz w:val="20"/>
          <w:szCs w:val="20"/>
        </w:rPr>
        <w:t xml:space="preserve">e also propose moving </w:t>
      </w:r>
      <w:r w:rsidR="001A3A68">
        <w:rPr>
          <w:rFonts w:ascii="Palatino Linotype" w:hAnsi="Palatino Linotype"/>
          <w:sz w:val="20"/>
          <w:szCs w:val="20"/>
        </w:rPr>
        <w:t xml:space="preserve">former </w:t>
      </w:r>
      <w:r w:rsidR="00AD259F">
        <w:rPr>
          <w:rFonts w:ascii="Palatino Linotype" w:hAnsi="Palatino Linotype"/>
          <w:sz w:val="20"/>
          <w:szCs w:val="20"/>
        </w:rPr>
        <w:t xml:space="preserve">subdivision (a) of rule 10615 to rule 10670 (Documentary Evidence) because </w:t>
      </w:r>
      <w:r w:rsidR="001A3A68">
        <w:rPr>
          <w:rFonts w:ascii="Palatino Linotype" w:hAnsi="Palatino Linotype"/>
          <w:sz w:val="20"/>
          <w:szCs w:val="20"/>
        </w:rPr>
        <w:t xml:space="preserve">former </w:t>
      </w:r>
      <w:r w:rsidR="00AD259F">
        <w:rPr>
          <w:rFonts w:ascii="Palatino Linotype" w:hAnsi="Palatino Linotype"/>
          <w:sz w:val="20"/>
          <w:szCs w:val="20"/>
        </w:rPr>
        <w:t xml:space="preserve">subdivision (a) pertains to a specific type of documentary evidence, and not the general filing of documents.  </w:t>
      </w:r>
      <w:r w:rsidR="00B4697D">
        <w:rPr>
          <w:rFonts w:ascii="Palatino Linotype" w:hAnsi="Palatino Linotype"/>
          <w:sz w:val="20"/>
          <w:szCs w:val="20"/>
        </w:rPr>
        <w:t>We propose removing superfluous language from s</w:t>
      </w:r>
      <w:r w:rsidR="0074565D">
        <w:rPr>
          <w:rFonts w:ascii="Palatino Linotype" w:hAnsi="Palatino Linotype"/>
          <w:sz w:val="20"/>
          <w:szCs w:val="20"/>
        </w:rPr>
        <w:t xml:space="preserve">ubdivision (b) </w:t>
      </w:r>
      <w:r w:rsidR="001D78FA">
        <w:rPr>
          <w:rFonts w:ascii="Palatino Linotype" w:hAnsi="Palatino Linotype"/>
          <w:sz w:val="20"/>
          <w:szCs w:val="20"/>
        </w:rPr>
        <w:t xml:space="preserve">to facilitate electronic filing in the future. </w:t>
      </w:r>
      <w:r w:rsidR="00B4697D">
        <w:rPr>
          <w:rFonts w:ascii="Palatino Linotype" w:hAnsi="Palatino Linotype"/>
          <w:sz w:val="20"/>
          <w:szCs w:val="20"/>
        </w:rPr>
        <w:t xml:space="preserve"> </w:t>
      </w:r>
      <w:r w:rsidR="000819F2">
        <w:rPr>
          <w:rFonts w:ascii="Palatino Linotype" w:hAnsi="Palatino Linotype"/>
          <w:sz w:val="20"/>
          <w:szCs w:val="20"/>
        </w:rPr>
        <w:t>Additionally, to formalize the electronic filing other than in EAMS that was adopted by the Appeals Board and the District Offices during the pandemic, w</w:t>
      </w:r>
      <w:r w:rsidR="001D78FA">
        <w:rPr>
          <w:rFonts w:ascii="Palatino Linotype" w:hAnsi="Palatino Linotype"/>
          <w:sz w:val="20"/>
          <w:szCs w:val="20"/>
        </w:rPr>
        <w:t xml:space="preserve">e propose </w:t>
      </w:r>
      <w:r w:rsidR="006A6422">
        <w:rPr>
          <w:rFonts w:ascii="Palatino Linotype" w:hAnsi="Palatino Linotype"/>
          <w:sz w:val="20"/>
          <w:szCs w:val="20"/>
        </w:rPr>
        <w:t xml:space="preserve">adding new language to subdivision (d) </w:t>
      </w:r>
      <w:r w:rsidR="00B4697D">
        <w:rPr>
          <w:rFonts w:ascii="Palatino Linotype" w:hAnsi="Palatino Linotype"/>
          <w:sz w:val="20"/>
          <w:szCs w:val="20"/>
        </w:rPr>
        <w:t>to define</w:t>
      </w:r>
      <w:r w:rsidR="006A6422">
        <w:rPr>
          <w:rFonts w:ascii="Palatino Linotype" w:hAnsi="Palatino Linotype"/>
          <w:sz w:val="20"/>
          <w:szCs w:val="20"/>
        </w:rPr>
        <w:t xml:space="preserve"> receipt and confirmation of </w:t>
      </w:r>
      <w:r w:rsidR="001D78FA">
        <w:rPr>
          <w:rFonts w:ascii="Palatino Linotype" w:hAnsi="Palatino Linotype"/>
          <w:sz w:val="20"/>
          <w:szCs w:val="20"/>
        </w:rPr>
        <w:t>electronic filing other than in EAMS</w:t>
      </w:r>
      <w:r w:rsidR="006A6422">
        <w:rPr>
          <w:rFonts w:ascii="Palatino Linotype" w:hAnsi="Palatino Linotype"/>
          <w:sz w:val="20"/>
          <w:szCs w:val="20"/>
        </w:rPr>
        <w:t xml:space="preserve"> as well as confirmation of electronic filing in EAMS.</w:t>
      </w:r>
    </w:p>
    <w:p w14:paraId="75C3CA7E" w14:textId="77777777" w:rsidR="0067139A" w:rsidRPr="00A426B4" w:rsidRDefault="0067139A" w:rsidP="00A426B4">
      <w:pPr>
        <w:pStyle w:val="Heading4"/>
      </w:pPr>
      <w:r w:rsidRPr="00A426B4">
        <w:t xml:space="preserve">Rule Amended: </w:t>
      </w:r>
      <w:bookmarkStart w:id="16" w:name="Rule10625_ServiceByParties"/>
      <w:r w:rsidRPr="00A426B4">
        <w:t>10625 “Service</w:t>
      </w:r>
      <w:r w:rsidR="006A6422" w:rsidRPr="00A426B4">
        <w:t xml:space="preserve"> by Parties</w:t>
      </w:r>
      <w:r w:rsidRPr="00A426B4">
        <w:t>.”</w:t>
      </w:r>
      <w:bookmarkEnd w:id="16"/>
    </w:p>
    <w:p w14:paraId="733C2D6B" w14:textId="77777777" w:rsidR="0067139A" w:rsidRPr="00A426B4" w:rsidRDefault="0067139A" w:rsidP="00A426B4">
      <w:pPr>
        <w:pStyle w:val="Heading5"/>
      </w:pPr>
      <w:r w:rsidRPr="00A426B4">
        <w:t>Statement of Specific Purpose and Reasons for Proposed Amendments of r</w:t>
      </w:r>
      <w:r w:rsidR="003667F0" w:rsidRPr="00A426B4">
        <w:t>ule 1062</w:t>
      </w:r>
      <w:r w:rsidRPr="00A426B4">
        <w:t>5.</w:t>
      </w:r>
    </w:p>
    <w:p w14:paraId="66A76691" w14:textId="77777777" w:rsidR="00013E15"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013E15">
        <w:rPr>
          <w:rFonts w:ascii="Palatino Linotype" w:hAnsi="Palatino Linotype"/>
          <w:sz w:val="20"/>
          <w:szCs w:val="20"/>
        </w:rPr>
        <w:t>amending the title of rule 10625 to clarify that it governs service by parties, as opposed to service by the Workers’ Compensation Appeals Board (which is governed by rule 10628).  We propose non-</w:t>
      </w:r>
      <w:r w:rsidR="00013E15">
        <w:rPr>
          <w:rFonts w:ascii="Palatino Linotype" w:hAnsi="Palatino Linotype"/>
          <w:sz w:val="20"/>
          <w:szCs w:val="20"/>
        </w:rPr>
        <w:lastRenderedPageBreak/>
        <w:t xml:space="preserve">substantive changes to the wording of subdivision (a).  </w:t>
      </w:r>
      <w:r w:rsidR="000819F2">
        <w:rPr>
          <w:rFonts w:ascii="Palatino Linotype" w:hAnsi="Palatino Linotype"/>
          <w:sz w:val="20"/>
          <w:szCs w:val="20"/>
        </w:rPr>
        <w:t xml:space="preserve">We also propose several revisions that will facilitate and formalize electronic service, as follows: </w:t>
      </w:r>
      <w:r w:rsidR="00013E15">
        <w:rPr>
          <w:rFonts w:ascii="Palatino Linotype" w:hAnsi="Palatino Linotype"/>
          <w:sz w:val="20"/>
          <w:szCs w:val="20"/>
        </w:rPr>
        <w:t>In subdivision (b), we propose adding language to allow for electronic service, and removing language that no longer reflects current practice.  We propose adding language to subdivision (c)</w:t>
      </w:r>
      <w:r w:rsidR="00CA74D5">
        <w:rPr>
          <w:rFonts w:ascii="Palatino Linotype" w:hAnsi="Palatino Linotype"/>
          <w:sz w:val="20"/>
          <w:szCs w:val="20"/>
        </w:rPr>
        <w:t xml:space="preserve"> regarding the requirements for proofs of service for documents filed electronically.  In subdivision (d), we propose revisions to clarify the steps a party must take when they receive notification that service has failed.</w:t>
      </w:r>
    </w:p>
    <w:p w14:paraId="3F16BCE4" w14:textId="77777777" w:rsidR="0067139A" w:rsidRPr="00A426B4" w:rsidRDefault="0067139A" w:rsidP="00A426B4">
      <w:pPr>
        <w:pStyle w:val="Heading4"/>
      </w:pPr>
      <w:r w:rsidRPr="00A426B4">
        <w:t xml:space="preserve">Rule Amended: </w:t>
      </w:r>
      <w:bookmarkStart w:id="17" w:name="Rule10628_ServiceByWCAB"/>
      <w:r w:rsidRPr="00A426B4">
        <w:t>10628 “Service by the Workers’ Compensation Appeals Board.”</w:t>
      </w:r>
      <w:bookmarkEnd w:id="17"/>
    </w:p>
    <w:p w14:paraId="6659461A" w14:textId="77777777" w:rsidR="0067139A" w:rsidRPr="00A426B4" w:rsidRDefault="0067139A" w:rsidP="00A426B4">
      <w:pPr>
        <w:pStyle w:val="Heading5"/>
      </w:pPr>
      <w:r w:rsidRPr="00A426B4">
        <w:t>Statement of Specific Purpose and Reasons for Proposed Amendments of r</w:t>
      </w:r>
      <w:r w:rsidR="003667F0" w:rsidRPr="00A426B4">
        <w:t>ule 10628</w:t>
      </w:r>
      <w:r w:rsidRPr="00A426B4">
        <w:t>.</w:t>
      </w:r>
    </w:p>
    <w:p w14:paraId="09E33408"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CA74D5">
        <w:rPr>
          <w:rFonts w:ascii="Palatino Linotype" w:hAnsi="Palatino Linotype"/>
          <w:sz w:val="20"/>
          <w:szCs w:val="20"/>
        </w:rPr>
        <w:t>non-substantive changes to rule 10628 to clarify the requirements for electronic service, either through EAMS or otherwise, by the Workers’ Compensation Appeals Board</w:t>
      </w:r>
      <w:r>
        <w:rPr>
          <w:rFonts w:ascii="Palatino Linotype" w:hAnsi="Palatino Linotype"/>
          <w:sz w:val="20"/>
          <w:szCs w:val="20"/>
        </w:rPr>
        <w:t>.</w:t>
      </w:r>
    </w:p>
    <w:p w14:paraId="6C4FCF8D" w14:textId="77777777" w:rsidR="00AD0579" w:rsidRPr="00A426B4" w:rsidRDefault="00AD0579" w:rsidP="00A426B4">
      <w:pPr>
        <w:pStyle w:val="Heading4"/>
      </w:pPr>
      <w:r w:rsidRPr="00A426B4">
        <w:t xml:space="preserve">Rule Amended: </w:t>
      </w:r>
      <w:bookmarkStart w:id="18" w:name="Rule10635_DutyToServe"/>
      <w:r w:rsidRPr="00A426B4">
        <w:t>10635 “Duty to Serve Documents.”</w:t>
      </w:r>
      <w:bookmarkEnd w:id="18"/>
    </w:p>
    <w:p w14:paraId="4CDA3A59" w14:textId="77777777" w:rsidR="00AD0579" w:rsidRPr="00A426B4" w:rsidRDefault="00AD0579" w:rsidP="00A426B4">
      <w:pPr>
        <w:pStyle w:val="Heading5"/>
      </w:pPr>
      <w:r w:rsidRPr="00A426B4">
        <w:t>Statement of Specific Purpose and Reasons for Proposed Amendments of r</w:t>
      </w:r>
      <w:r w:rsidR="003667F0" w:rsidRPr="00A426B4">
        <w:t>ule 1063</w:t>
      </w:r>
      <w:r w:rsidRPr="00A426B4">
        <w:t>5.</w:t>
      </w:r>
    </w:p>
    <w:p w14:paraId="6AFD5859" w14:textId="77777777" w:rsidR="00AD0579" w:rsidRDefault="0062592E" w:rsidP="00AD0579">
      <w:pPr>
        <w:jc w:val="both"/>
        <w:rPr>
          <w:rFonts w:ascii="Palatino Linotype" w:hAnsi="Palatino Linotype"/>
          <w:sz w:val="20"/>
          <w:szCs w:val="20"/>
        </w:rPr>
      </w:pPr>
      <w:r>
        <w:rPr>
          <w:rFonts w:ascii="Palatino Linotype" w:hAnsi="Palatino Linotype"/>
          <w:sz w:val="20"/>
          <w:szCs w:val="20"/>
        </w:rPr>
        <w:t xml:space="preserve">We propose </w:t>
      </w:r>
      <w:r w:rsidR="008661D0">
        <w:rPr>
          <w:rFonts w:ascii="Palatino Linotype" w:hAnsi="Palatino Linotype"/>
          <w:sz w:val="20"/>
          <w:szCs w:val="20"/>
        </w:rPr>
        <w:t xml:space="preserve">non-substantive </w:t>
      </w:r>
      <w:r>
        <w:rPr>
          <w:rFonts w:ascii="Palatino Linotype" w:hAnsi="Palatino Linotype"/>
          <w:sz w:val="20"/>
          <w:szCs w:val="20"/>
        </w:rPr>
        <w:t xml:space="preserve">rewording and reorganizing </w:t>
      </w:r>
      <w:r w:rsidR="008661D0">
        <w:rPr>
          <w:rFonts w:ascii="Palatino Linotype" w:hAnsi="Palatino Linotype"/>
          <w:sz w:val="20"/>
          <w:szCs w:val="20"/>
        </w:rPr>
        <w:t xml:space="preserve">of </w:t>
      </w:r>
      <w:r>
        <w:rPr>
          <w:rFonts w:ascii="Palatino Linotype" w:hAnsi="Palatino Linotype"/>
          <w:sz w:val="20"/>
          <w:szCs w:val="20"/>
        </w:rPr>
        <w:t xml:space="preserve">subdivision (c) into three separate subdivisions to clarify who must be served with which documents and to assist practitioners in complying with the rule’s requirements.  </w:t>
      </w:r>
      <w:r w:rsidR="00AD0579">
        <w:rPr>
          <w:rFonts w:ascii="Palatino Linotype" w:hAnsi="Palatino Linotype"/>
          <w:sz w:val="20"/>
          <w:szCs w:val="20"/>
        </w:rPr>
        <w:t xml:space="preserve">We </w:t>
      </w:r>
      <w:r>
        <w:rPr>
          <w:rFonts w:ascii="Palatino Linotype" w:hAnsi="Palatino Linotype"/>
          <w:sz w:val="20"/>
          <w:szCs w:val="20"/>
        </w:rPr>
        <w:t xml:space="preserve">also </w:t>
      </w:r>
      <w:r w:rsidR="00AD0579">
        <w:rPr>
          <w:rFonts w:ascii="Palatino Linotype" w:hAnsi="Palatino Linotype"/>
          <w:sz w:val="20"/>
          <w:szCs w:val="20"/>
        </w:rPr>
        <w:t xml:space="preserve">propose </w:t>
      </w:r>
      <w:r>
        <w:rPr>
          <w:rFonts w:ascii="Palatino Linotype" w:hAnsi="Palatino Linotype"/>
          <w:sz w:val="20"/>
          <w:szCs w:val="20"/>
        </w:rPr>
        <w:t xml:space="preserve">correcting a typographical error in former subdivision (c)(2), new subdivision (d), </w:t>
      </w:r>
      <w:r w:rsidR="003667F0">
        <w:rPr>
          <w:rFonts w:ascii="Palatino Linotype" w:hAnsi="Palatino Linotype"/>
          <w:sz w:val="20"/>
          <w:szCs w:val="20"/>
        </w:rPr>
        <w:t xml:space="preserve">so that </w:t>
      </w:r>
      <w:r>
        <w:rPr>
          <w:rFonts w:ascii="Palatino Linotype" w:hAnsi="Palatino Linotype"/>
          <w:sz w:val="20"/>
          <w:szCs w:val="20"/>
        </w:rPr>
        <w:t xml:space="preserve">new </w:t>
      </w:r>
      <w:r w:rsidR="003667F0">
        <w:rPr>
          <w:rFonts w:ascii="Palatino Linotype" w:hAnsi="Palatino Linotype"/>
          <w:sz w:val="20"/>
          <w:szCs w:val="20"/>
        </w:rPr>
        <w:t xml:space="preserve">subdivision </w:t>
      </w:r>
      <w:r>
        <w:rPr>
          <w:rFonts w:ascii="Palatino Linotype" w:hAnsi="Palatino Linotype"/>
          <w:sz w:val="20"/>
          <w:szCs w:val="20"/>
        </w:rPr>
        <w:t>(d)</w:t>
      </w:r>
      <w:r w:rsidR="003667F0">
        <w:rPr>
          <w:rFonts w:ascii="Palatino Linotype" w:hAnsi="Palatino Linotype"/>
          <w:sz w:val="20"/>
          <w:szCs w:val="20"/>
        </w:rPr>
        <w:t xml:space="preserve"> cross-references Labor Code section </w:t>
      </w:r>
      <w:r w:rsidR="003667F0" w:rsidRPr="003667F0">
        <w:rPr>
          <w:rFonts w:ascii="Palatino Linotype" w:hAnsi="Palatino Linotype"/>
          <w:sz w:val="20"/>
          <w:szCs w:val="20"/>
        </w:rPr>
        <w:t>4903.05(d)(7)</w:t>
      </w:r>
      <w:r w:rsidR="003667F0">
        <w:rPr>
          <w:rFonts w:ascii="Palatino Linotype" w:hAnsi="Palatino Linotype"/>
          <w:sz w:val="20"/>
          <w:szCs w:val="20"/>
        </w:rPr>
        <w:t xml:space="preserve"> instead of Labor Code section </w:t>
      </w:r>
      <w:r w:rsidR="00A06711" w:rsidRPr="00A06711">
        <w:rPr>
          <w:rFonts w:ascii="Palatino Linotype" w:hAnsi="Palatino Linotype"/>
          <w:sz w:val="20"/>
          <w:szCs w:val="20"/>
        </w:rPr>
        <w:t>4903.05(c)(7)</w:t>
      </w:r>
      <w:r w:rsidR="00A06711">
        <w:rPr>
          <w:rFonts w:ascii="Palatino Linotype" w:hAnsi="Palatino Linotype"/>
          <w:sz w:val="20"/>
          <w:szCs w:val="20"/>
        </w:rPr>
        <w:t>.</w:t>
      </w:r>
      <w:r w:rsidR="00B4697D">
        <w:rPr>
          <w:rFonts w:ascii="Palatino Linotype" w:hAnsi="Palatino Linotype"/>
          <w:sz w:val="20"/>
          <w:szCs w:val="20"/>
        </w:rPr>
        <w:t xml:space="preserve">  </w:t>
      </w:r>
    </w:p>
    <w:p w14:paraId="14333D61" w14:textId="77777777" w:rsidR="007564CF" w:rsidRPr="00A426B4" w:rsidRDefault="007564CF" w:rsidP="00A426B4">
      <w:pPr>
        <w:pStyle w:val="Heading4"/>
      </w:pPr>
      <w:r w:rsidRPr="00A426B4">
        <w:t xml:space="preserve">Rule Amended: </w:t>
      </w:r>
      <w:bookmarkStart w:id="19" w:name="Rule10670_DocumentaryEvidence"/>
      <w:r w:rsidRPr="00A426B4">
        <w:t>10670 “Documentary Evidence.”</w:t>
      </w:r>
      <w:bookmarkEnd w:id="19"/>
    </w:p>
    <w:p w14:paraId="0CC66D36" w14:textId="77777777" w:rsidR="007564CF" w:rsidRPr="00A426B4" w:rsidRDefault="007564CF" w:rsidP="00A426B4">
      <w:pPr>
        <w:pStyle w:val="Heading5"/>
      </w:pPr>
      <w:r w:rsidRPr="00A426B4">
        <w:t>Statement of Specific Purpose and Reasons for Proposed Amendments of rule 10670.</w:t>
      </w:r>
    </w:p>
    <w:p w14:paraId="33586239" w14:textId="77777777" w:rsidR="007564CF" w:rsidRDefault="007564CF" w:rsidP="007564CF">
      <w:pPr>
        <w:jc w:val="both"/>
        <w:rPr>
          <w:rFonts w:ascii="Palatino Linotype" w:hAnsi="Palatino Linotype"/>
          <w:sz w:val="20"/>
          <w:szCs w:val="20"/>
        </w:rPr>
      </w:pPr>
      <w:r>
        <w:rPr>
          <w:rFonts w:ascii="Palatino Linotype" w:hAnsi="Palatino Linotype"/>
          <w:sz w:val="20"/>
          <w:szCs w:val="20"/>
        </w:rPr>
        <w:t xml:space="preserve">We propose moving language from former subdivision (a) of rule 10615 to create a new subdivision (c) or rule 10670, for the reasons discussed above.  We propose removing subdivision (d) as it is superfluous. </w:t>
      </w:r>
    </w:p>
    <w:p w14:paraId="60BCE19F" w14:textId="77777777" w:rsidR="0067139A" w:rsidRPr="00A426B4" w:rsidRDefault="0067139A" w:rsidP="00A426B4">
      <w:pPr>
        <w:pStyle w:val="Heading4"/>
      </w:pPr>
      <w:r w:rsidRPr="00A426B4">
        <w:t xml:space="preserve">Rule Amended: </w:t>
      </w:r>
      <w:bookmarkStart w:id="20" w:name="Rule10745_SettingTheCase"/>
      <w:r w:rsidRPr="00A426B4">
        <w:t>10745 “Setting the Case.”</w:t>
      </w:r>
      <w:bookmarkEnd w:id="20"/>
    </w:p>
    <w:p w14:paraId="49288473" w14:textId="77777777" w:rsidR="0067139A" w:rsidRPr="00A426B4" w:rsidRDefault="0067139A" w:rsidP="00A426B4">
      <w:pPr>
        <w:pStyle w:val="Heading5"/>
      </w:pPr>
      <w:r w:rsidRPr="00A426B4">
        <w:t>Statement of Specific Purpose and Reasons for Proposed Amendments of r</w:t>
      </w:r>
      <w:r w:rsidR="003667F0" w:rsidRPr="00A426B4">
        <w:t>ule 1074</w:t>
      </w:r>
      <w:r w:rsidRPr="00A426B4">
        <w:t>5.</w:t>
      </w:r>
    </w:p>
    <w:p w14:paraId="326E1B00" w14:textId="77777777" w:rsidR="0067139A" w:rsidRDefault="0067139A" w:rsidP="0067139A">
      <w:pPr>
        <w:jc w:val="both"/>
        <w:rPr>
          <w:rFonts w:ascii="Palatino Linotype" w:hAnsi="Palatino Linotype"/>
          <w:sz w:val="20"/>
          <w:szCs w:val="20"/>
        </w:rPr>
      </w:pPr>
      <w:r>
        <w:rPr>
          <w:rFonts w:ascii="Palatino Linotype" w:hAnsi="Palatino Linotype"/>
          <w:sz w:val="20"/>
          <w:szCs w:val="20"/>
        </w:rPr>
        <w:t>We propose</w:t>
      </w:r>
      <w:r w:rsidR="00A5680B">
        <w:rPr>
          <w:rFonts w:ascii="Palatino Linotype" w:hAnsi="Palatino Linotype"/>
          <w:sz w:val="20"/>
          <w:szCs w:val="20"/>
        </w:rPr>
        <w:t xml:space="preserve"> non-substantive revision</w:t>
      </w:r>
      <w:r w:rsidR="0062592E">
        <w:rPr>
          <w:rFonts w:ascii="Palatino Linotype" w:hAnsi="Palatino Linotype"/>
          <w:sz w:val="20"/>
          <w:szCs w:val="20"/>
        </w:rPr>
        <w:t>s</w:t>
      </w:r>
      <w:r w:rsidR="00A5680B">
        <w:rPr>
          <w:rFonts w:ascii="Palatino Linotype" w:hAnsi="Palatino Linotype"/>
          <w:sz w:val="20"/>
          <w:szCs w:val="20"/>
        </w:rPr>
        <w:t xml:space="preserve"> </w:t>
      </w:r>
      <w:r w:rsidR="0062592E">
        <w:rPr>
          <w:rFonts w:ascii="Palatino Linotype" w:hAnsi="Palatino Linotype"/>
          <w:sz w:val="20"/>
          <w:szCs w:val="20"/>
        </w:rPr>
        <w:t>to rule 10745 to reflect current practice as well as revisions</w:t>
      </w:r>
      <w:r w:rsidR="00A5680B">
        <w:rPr>
          <w:rFonts w:ascii="Palatino Linotype" w:hAnsi="Palatino Linotype"/>
          <w:sz w:val="20"/>
          <w:szCs w:val="20"/>
        </w:rPr>
        <w:t xml:space="preserve"> to facilitate remote hearings in the future.</w:t>
      </w:r>
    </w:p>
    <w:p w14:paraId="450EA611" w14:textId="77777777" w:rsidR="0067139A" w:rsidRPr="00A426B4" w:rsidRDefault="0067139A" w:rsidP="00A426B4">
      <w:pPr>
        <w:pStyle w:val="Heading4"/>
      </w:pPr>
      <w:r w:rsidRPr="00A426B4">
        <w:t xml:space="preserve">Rule Amended: </w:t>
      </w:r>
      <w:bookmarkStart w:id="21" w:name="Rule10750_NoticeOfHearing"/>
      <w:r w:rsidRPr="00A426B4">
        <w:t>10750 “Notice of Hearing.”</w:t>
      </w:r>
      <w:bookmarkEnd w:id="21"/>
    </w:p>
    <w:p w14:paraId="5E05B690"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0</w:t>
      </w:r>
      <w:r w:rsidRPr="00A426B4">
        <w:t>.</w:t>
      </w:r>
    </w:p>
    <w:p w14:paraId="1C398ABB"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523B39">
        <w:rPr>
          <w:rFonts w:ascii="Palatino Linotype" w:hAnsi="Palatino Linotype"/>
          <w:sz w:val="20"/>
          <w:szCs w:val="20"/>
        </w:rPr>
        <w:t>revising rule 10750 to facilitate electronic service of notices of hearings.  We also propose correcting a typographical error, so that</w:t>
      </w:r>
      <w:r w:rsidR="0062592E">
        <w:rPr>
          <w:rFonts w:ascii="Palatino Linotype" w:hAnsi="Palatino Linotype"/>
          <w:sz w:val="20"/>
          <w:szCs w:val="20"/>
        </w:rPr>
        <w:t xml:space="preserve"> new</w:t>
      </w:r>
      <w:r w:rsidR="00523B39">
        <w:rPr>
          <w:rFonts w:ascii="Palatino Linotype" w:hAnsi="Palatino Linotype"/>
          <w:sz w:val="20"/>
          <w:szCs w:val="20"/>
        </w:rPr>
        <w:t xml:space="preserve"> subdivision (a) cross-references rule 10625 and not rule 10610.</w:t>
      </w:r>
    </w:p>
    <w:p w14:paraId="668BE84C" w14:textId="77777777" w:rsidR="0067139A" w:rsidRPr="00A426B4" w:rsidRDefault="0067139A" w:rsidP="00A426B4">
      <w:pPr>
        <w:pStyle w:val="Heading4"/>
      </w:pPr>
      <w:r w:rsidRPr="00A426B4">
        <w:lastRenderedPageBreak/>
        <w:t xml:space="preserve">Rule Amended: </w:t>
      </w:r>
      <w:bookmarkStart w:id="22" w:name="Rule10752_AppearancesRequired"/>
      <w:r w:rsidRPr="00A426B4">
        <w:t>10752 “Appearances Required.”</w:t>
      </w:r>
      <w:bookmarkEnd w:id="22"/>
    </w:p>
    <w:p w14:paraId="205B8693"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2</w:t>
      </w:r>
      <w:r w:rsidRPr="00A426B4">
        <w:t>.</w:t>
      </w:r>
    </w:p>
    <w:p w14:paraId="72467C82" w14:textId="77777777" w:rsidR="0067139A" w:rsidRDefault="0067139A" w:rsidP="0067139A">
      <w:pPr>
        <w:jc w:val="both"/>
        <w:rPr>
          <w:rFonts w:ascii="Palatino Linotype" w:hAnsi="Palatino Linotype"/>
          <w:sz w:val="20"/>
          <w:szCs w:val="20"/>
        </w:rPr>
      </w:pPr>
      <w:r>
        <w:rPr>
          <w:rFonts w:ascii="Palatino Linotype" w:hAnsi="Palatino Linotype"/>
          <w:sz w:val="20"/>
          <w:szCs w:val="20"/>
        </w:rPr>
        <w:t xml:space="preserve">We propose </w:t>
      </w:r>
      <w:r w:rsidR="00523B39">
        <w:rPr>
          <w:rFonts w:ascii="Palatino Linotype" w:hAnsi="Palatino Linotype"/>
          <w:sz w:val="20"/>
          <w:szCs w:val="20"/>
        </w:rPr>
        <w:t>revising rule 10752 to facilitate remote hearings and appearances.  We propose repealing</w:t>
      </w:r>
      <w:r w:rsidR="00861E5C">
        <w:rPr>
          <w:rFonts w:ascii="Palatino Linotype" w:hAnsi="Palatino Linotype"/>
          <w:sz w:val="20"/>
          <w:szCs w:val="20"/>
        </w:rPr>
        <w:t xml:space="preserve"> subdivision (c) and combining current subdivisions (b) and (d) to clarify the requirements for appearances by party representatives with settlement authority.  We also propose removing language regarding the possibility of monetary sanctions for failure to comply and replacing it with new subdivision (e), which allows the workers’ compensation judge more discretion in responding to a failure to comply with the rule.</w:t>
      </w:r>
      <w:r w:rsidR="00523B39">
        <w:rPr>
          <w:rFonts w:ascii="Palatino Linotype" w:hAnsi="Palatino Linotype"/>
          <w:sz w:val="20"/>
          <w:szCs w:val="20"/>
        </w:rPr>
        <w:t xml:space="preserve"> </w:t>
      </w:r>
    </w:p>
    <w:p w14:paraId="15236F88" w14:textId="77777777" w:rsidR="0067139A" w:rsidRPr="00A426B4" w:rsidRDefault="0067139A" w:rsidP="00A426B4">
      <w:pPr>
        <w:pStyle w:val="Heading4"/>
      </w:pPr>
      <w:r w:rsidRPr="00A426B4">
        <w:t xml:space="preserve">Rule Amended: </w:t>
      </w:r>
      <w:bookmarkStart w:id="23" w:name="Rule10755_FailureToAppearMSC"/>
      <w:r w:rsidRPr="00A426B4">
        <w:t>10755 “Failure to Appear at Mandatory Settlement Conference in Case in Chief.”</w:t>
      </w:r>
      <w:bookmarkEnd w:id="23"/>
    </w:p>
    <w:p w14:paraId="0B7A61E4" w14:textId="77777777" w:rsidR="0067139A" w:rsidRPr="00A426B4" w:rsidRDefault="0067139A" w:rsidP="00A426B4">
      <w:pPr>
        <w:pStyle w:val="Heading5"/>
      </w:pPr>
      <w:r w:rsidRPr="00A426B4">
        <w:t>Statement of Specific Purpose and Reasons for Proposed Amendments of r</w:t>
      </w:r>
      <w:r w:rsidR="003667F0" w:rsidRPr="00A426B4">
        <w:t>ule 1075</w:t>
      </w:r>
      <w:r w:rsidRPr="00A426B4">
        <w:t>5.</w:t>
      </w:r>
    </w:p>
    <w:p w14:paraId="710A251E" w14:textId="77777777" w:rsidR="0067139A" w:rsidRDefault="0067139A" w:rsidP="0067139A">
      <w:pPr>
        <w:jc w:val="both"/>
        <w:rPr>
          <w:rFonts w:ascii="Palatino Linotype" w:hAnsi="Palatino Linotype"/>
          <w:sz w:val="20"/>
          <w:szCs w:val="20"/>
        </w:rPr>
      </w:pPr>
      <w:r>
        <w:rPr>
          <w:rFonts w:ascii="Palatino Linotype" w:hAnsi="Palatino Linotype"/>
          <w:sz w:val="20"/>
          <w:szCs w:val="20"/>
        </w:rPr>
        <w:t>We propose</w:t>
      </w:r>
      <w:r w:rsidR="00861E5C">
        <w:rPr>
          <w:rFonts w:ascii="Palatino Linotype" w:hAnsi="Palatino Linotype"/>
          <w:sz w:val="20"/>
          <w:szCs w:val="20"/>
        </w:rPr>
        <w:t xml:space="preserve"> simplifying the language of rule 10755 to provide additional clarity for practitioners, and to provide greater flexibility to workers’ compensation judges in adjudicating failure to appear at mandatory settlement conferences.</w:t>
      </w:r>
    </w:p>
    <w:p w14:paraId="2D3EE011" w14:textId="77777777" w:rsidR="0067139A" w:rsidRPr="00A426B4" w:rsidRDefault="00AD0579" w:rsidP="00A426B4">
      <w:pPr>
        <w:pStyle w:val="Heading4"/>
      </w:pPr>
      <w:r w:rsidRPr="00A426B4">
        <w:t xml:space="preserve">Rule Amended: </w:t>
      </w:r>
      <w:bookmarkStart w:id="24" w:name="Rule10756_FailureToAppearTrial"/>
      <w:r w:rsidRPr="00A426B4">
        <w:t>107</w:t>
      </w:r>
      <w:r w:rsidR="0067139A" w:rsidRPr="00A426B4">
        <w:t>5</w:t>
      </w:r>
      <w:r w:rsidRPr="00A426B4">
        <w:t>6</w:t>
      </w:r>
      <w:r w:rsidR="0067139A" w:rsidRPr="00A426B4">
        <w:t xml:space="preserve"> “</w:t>
      </w:r>
      <w:r w:rsidRPr="00A426B4">
        <w:t>Failure to Appear at Trial in Case in Chief</w:t>
      </w:r>
      <w:r w:rsidR="0067139A" w:rsidRPr="00A426B4">
        <w:t>.”</w:t>
      </w:r>
      <w:bookmarkEnd w:id="24"/>
    </w:p>
    <w:p w14:paraId="6026C2DE" w14:textId="77777777" w:rsidR="0067139A" w:rsidRPr="00A426B4" w:rsidRDefault="0067139A" w:rsidP="00A426B4">
      <w:pPr>
        <w:pStyle w:val="Heading5"/>
      </w:pPr>
      <w:r w:rsidRPr="00A426B4">
        <w:t>Statement of Specific Purpose and Reasons for Proposed Amendments of r</w:t>
      </w:r>
      <w:r w:rsidR="003667F0" w:rsidRPr="00A426B4">
        <w:t>ule 107</w:t>
      </w:r>
      <w:r w:rsidRPr="00A426B4">
        <w:t>5</w:t>
      </w:r>
      <w:r w:rsidR="003667F0" w:rsidRPr="00A426B4">
        <w:t>6</w:t>
      </w:r>
      <w:r w:rsidRPr="00A426B4">
        <w:t>.</w:t>
      </w:r>
    </w:p>
    <w:p w14:paraId="4A0E9E8E" w14:textId="77777777" w:rsidR="00AD0579" w:rsidRDefault="00861E5C" w:rsidP="0067139A">
      <w:pPr>
        <w:jc w:val="both"/>
        <w:rPr>
          <w:rFonts w:ascii="Palatino Linotype" w:hAnsi="Palatino Linotype"/>
          <w:sz w:val="20"/>
          <w:szCs w:val="20"/>
        </w:rPr>
      </w:pPr>
      <w:r>
        <w:rPr>
          <w:rFonts w:ascii="Palatino Linotype" w:hAnsi="Palatino Linotype"/>
          <w:sz w:val="20"/>
          <w:szCs w:val="20"/>
        </w:rPr>
        <w:t>We propose simplifying the language of rule 10756 to provide additional clarity for practitioners, and to provide greater flexibility to workers’ compensation judges in adjudicating failure to appear at trials.</w:t>
      </w:r>
      <w:r w:rsidR="00AD0579">
        <w:rPr>
          <w:rFonts w:ascii="Palatino Linotype" w:hAnsi="Palatino Linotype"/>
          <w:sz w:val="20"/>
          <w:szCs w:val="20"/>
        </w:rPr>
        <w:t xml:space="preserve"> </w:t>
      </w:r>
      <w:r>
        <w:rPr>
          <w:rFonts w:ascii="Palatino Linotype" w:hAnsi="Palatino Linotype"/>
          <w:sz w:val="20"/>
          <w:szCs w:val="20"/>
        </w:rPr>
        <w:t>In new subdivision (b), we propose correcting a typographical error, so that subdivision (b) cross-references rule 10880 and not rule 10876.</w:t>
      </w:r>
    </w:p>
    <w:p w14:paraId="2DE59A9C" w14:textId="77777777" w:rsidR="00B4697D" w:rsidRPr="00A426B4" w:rsidRDefault="00B4697D" w:rsidP="00A426B4">
      <w:pPr>
        <w:pStyle w:val="Heading4"/>
      </w:pPr>
      <w:r w:rsidRPr="00A426B4">
        <w:t xml:space="preserve">Rule Amended: </w:t>
      </w:r>
      <w:bookmarkStart w:id="25" w:name="Rule10759_MSCs"/>
      <w:r w:rsidRPr="00A426B4">
        <w:t>10759 “Mandatory Settlement Conferences.”</w:t>
      </w:r>
      <w:bookmarkEnd w:id="25"/>
    </w:p>
    <w:p w14:paraId="5C691129" w14:textId="77777777" w:rsidR="00B4697D" w:rsidRPr="00A426B4" w:rsidRDefault="00B4697D" w:rsidP="00A426B4">
      <w:pPr>
        <w:pStyle w:val="Heading5"/>
      </w:pPr>
      <w:r w:rsidRPr="00A426B4">
        <w:t>Statement of Specific Purpose and Reasons for Proposed Amendments of rule 10759.</w:t>
      </w:r>
    </w:p>
    <w:p w14:paraId="45C43E77" w14:textId="77777777" w:rsidR="00B4697D" w:rsidRDefault="00B4697D" w:rsidP="005E2014">
      <w:pPr>
        <w:rPr>
          <w:rFonts w:ascii="Palatino Linotype" w:hAnsi="Palatino Linotype"/>
          <w:sz w:val="20"/>
          <w:szCs w:val="20"/>
        </w:rPr>
      </w:pPr>
      <w:r>
        <w:rPr>
          <w:rFonts w:ascii="Palatino Linotype" w:hAnsi="Palatino Linotype"/>
          <w:sz w:val="20"/>
          <w:szCs w:val="20"/>
        </w:rPr>
        <w:t xml:space="preserve">We propose amending rule 10759 to require the parties to meet and confer </w:t>
      </w:r>
      <w:r w:rsidR="005E2014">
        <w:rPr>
          <w:rFonts w:ascii="Palatino Linotype" w:hAnsi="Palatino Linotype"/>
          <w:sz w:val="20"/>
          <w:szCs w:val="20"/>
        </w:rPr>
        <w:t xml:space="preserve">before a mandatory settlement conference so that they can complete a joint Pre-Trial Conference Statement by the close of the mandatory settlement conference.  This requirement will provide workers’ compensation judges with </w:t>
      </w:r>
      <w:r w:rsidR="008661D0">
        <w:rPr>
          <w:rFonts w:ascii="Palatino Linotype" w:hAnsi="Palatino Linotype"/>
          <w:sz w:val="20"/>
          <w:szCs w:val="20"/>
        </w:rPr>
        <w:t xml:space="preserve">more </w:t>
      </w:r>
      <w:r w:rsidR="005E2014">
        <w:rPr>
          <w:rFonts w:ascii="Palatino Linotype" w:hAnsi="Palatino Linotype"/>
          <w:sz w:val="20"/>
          <w:szCs w:val="20"/>
        </w:rPr>
        <w:t>flexibility in managing their courtrooms, and will assist the parties in properly framing the issues so that trials can be conducted more efficiently.</w:t>
      </w:r>
    </w:p>
    <w:p w14:paraId="149D3CA4" w14:textId="77777777" w:rsidR="0067139A" w:rsidRPr="00A426B4" w:rsidRDefault="0067139A" w:rsidP="00A426B4">
      <w:pPr>
        <w:pStyle w:val="Heading4"/>
      </w:pPr>
      <w:r w:rsidRPr="00A426B4">
        <w:t>Rule Adopted:</w:t>
      </w:r>
      <w:r w:rsidR="00AD0579" w:rsidRPr="00A426B4">
        <w:t xml:space="preserve"> </w:t>
      </w:r>
      <w:bookmarkStart w:id="26" w:name="Rule10815_ElectronicHearings"/>
      <w:r w:rsidR="00AD0579" w:rsidRPr="00A426B4">
        <w:t>10815</w:t>
      </w:r>
      <w:r w:rsidRPr="00A426B4">
        <w:t xml:space="preserve"> “</w:t>
      </w:r>
      <w:r w:rsidR="00A137CC" w:rsidRPr="00A426B4">
        <w:t>Electronic</w:t>
      </w:r>
      <w:r w:rsidR="00AD0579" w:rsidRPr="00A426B4">
        <w:t xml:space="preserve"> Hearings Before the Workers’ Compensation Appeals Board</w:t>
      </w:r>
      <w:r w:rsidRPr="00A426B4">
        <w:t>.”</w:t>
      </w:r>
      <w:bookmarkEnd w:id="26"/>
    </w:p>
    <w:p w14:paraId="6F2C1825" w14:textId="77777777" w:rsidR="0067139A" w:rsidRPr="00A426B4" w:rsidRDefault="0067139A" w:rsidP="00A426B4">
      <w:pPr>
        <w:pStyle w:val="Heading5"/>
      </w:pPr>
      <w:r w:rsidRPr="00A426B4">
        <w:t>Statement of Specific Purpose and Reasons for Proposed Adoption</w:t>
      </w:r>
      <w:r w:rsidR="003667F0" w:rsidRPr="00A426B4">
        <w:t xml:space="preserve"> of rule 10815</w:t>
      </w:r>
      <w:r w:rsidRPr="00A426B4">
        <w:t>.</w:t>
      </w:r>
    </w:p>
    <w:p w14:paraId="09A748F8" w14:textId="77777777" w:rsidR="00000E00" w:rsidRDefault="000819F2" w:rsidP="0067139A">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w:t>
      </w:r>
      <w:r w:rsidRPr="00CF0B47">
        <w:rPr>
          <w:rFonts w:ascii="Palatino Linotype" w:hAnsi="Palatino Linotype"/>
          <w:sz w:val="20"/>
          <w:szCs w:val="20"/>
        </w:rPr>
        <w:lastRenderedPageBreak/>
        <w:t xml:space="preserve">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w:t>
      </w:r>
      <w:r w:rsidR="00000E00">
        <w:rPr>
          <w:rFonts w:ascii="Palatino Linotype" w:hAnsi="Palatino Linotype"/>
          <w:sz w:val="20"/>
          <w:szCs w:val="20"/>
        </w:rPr>
        <w:t>To that end, w</w:t>
      </w:r>
      <w:r w:rsidR="0067139A" w:rsidRPr="00977B91">
        <w:rPr>
          <w:rFonts w:ascii="Palatino Linotype" w:hAnsi="Palatino Linotype"/>
          <w:sz w:val="20"/>
          <w:szCs w:val="20"/>
        </w:rPr>
        <w:t xml:space="preserve">e propose adding </w:t>
      </w:r>
      <w:r w:rsidR="00000E00">
        <w:rPr>
          <w:rFonts w:ascii="Palatino Linotype" w:hAnsi="Palatino Linotype"/>
          <w:sz w:val="20"/>
          <w:szCs w:val="20"/>
        </w:rPr>
        <w:t xml:space="preserve">new rules </w:t>
      </w:r>
      <w:r w:rsidR="00C1114A">
        <w:rPr>
          <w:rFonts w:ascii="Palatino Linotype" w:hAnsi="Palatino Linotype"/>
          <w:sz w:val="20"/>
          <w:szCs w:val="20"/>
        </w:rPr>
        <w:t xml:space="preserve">10815, 10816, and 10817 </w:t>
      </w:r>
      <w:r w:rsidR="00000E00">
        <w:rPr>
          <w:rFonts w:ascii="Palatino Linotype" w:hAnsi="Palatino Linotype"/>
          <w:sz w:val="20"/>
          <w:szCs w:val="20"/>
        </w:rPr>
        <w:t xml:space="preserve">to </w:t>
      </w:r>
      <w:r w:rsidR="00C1114A">
        <w:rPr>
          <w:rFonts w:ascii="Palatino Linotype" w:hAnsi="Palatino Linotype"/>
          <w:sz w:val="20"/>
          <w:szCs w:val="20"/>
        </w:rPr>
        <w:t>create processes and structures for holding remote hearings, appearing remotely, and testifying remotely.</w:t>
      </w:r>
    </w:p>
    <w:p w14:paraId="71A6F994" w14:textId="77777777" w:rsidR="00C1114A" w:rsidRDefault="00C1114A" w:rsidP="0067139A">
      <w:pPr>
        <w:jc w:val="both"/>
        <w:rPr>
          <w:rFonts w:ascii="Palatino Linotype" w:hAnsi="Palatino Linotype"/>
          <w:sz w:val="20"/>
          <w:szCs w:val="20"/>
        </w:rPr>
      </w:pPr>
      <w:r>
        <w:rPr>
          <w:rFonts w:ascii="Palatino Linotype" w:hAnsi="Palatino Linotype"/>
          <w:sz w:val="20"/>
          <w:szCs w:val="20"/>
        </w:rPr>
        <w:t xml:space="preserve">With rule 10815, we have created a framework for setting a matter for a remote hearing and for objecting to a hearing being conducted remotely.  Subdivision (a) provides that any matter may be set for a remote hearing, following the same procedures set forth in rule 10745 for in-person hearings.  </w:t>
      </w:r>
      <w:r w:rsidR="00F359D9">
        <w:rPr>
          <w:rFonts w:ascii="Palatino Linotype" w:hAnsi="Palatino Linotype"/>
          <w:sz w:val="20"/>
          <w:szCs w:val="20"/>
        </w:rPr>
        <w:t xml:space="preserve">Subdivision (b) gives any party the right to </w:t>
      </w:r>
      <w:r>
        <w:rPr>
          <w:rFonts w:ascii="Palatino Linotype" w:hAnsi="Palatino Linotype"/>
          <w:sz w:val="20"/>
          <w:szCs w:val="20"/>
        </w:rPr>
        <w:t xml:space="preserve">object to a hearing being conducted remotely.  </w:t>
      </w:r>
      <w:r w:rsidR="00F359D9">
        <w:rPr>
          <w:rFonts w:ascii="Palatino Linotype" w:hAnsi="Palatino Linotype"/>
          <w:sz w:val="20"/>
          <w:szCs w:val="20"/>
        </w:rPr>
        <w:t xml:space="preserve">Subdivisions (c) and (d) govern the resolution, </w:t>
      </w:r>
      <w:r>
        <w:rPr>
          <w:rFonts w:ascii="Palatino Linotype" w:hAnsi="Palatino Linotype"/>
          <w:sz w:val="20"/>
          <w:szCs w:val="20"/>
        </w:rPr>
        <w:t>by the presiding workers’ compensation judge for the district office having venue</w:t>
      </w:r>
      <w:r w:rsidR="00F359D9">
        <w:rPr>
          <w:rFonts w:ascii="Palatino Linotype" w:hAnsi="Palatino Linotype"/>
          <w:sz w:val="20"/>
          <w:szCs w:val="20"/>
        </w:rPr>
        <w:t>, of any objection to a hearing being conducted remotely</w:t>
      </w:r>
      <w:r>
        <w:rPr>
          <w:rFonts w:ascii="Palatino Linotype" w:hAnsi="Palatino Linotype"/>
          <w:sz w:val="20"/>
          <w:szCs w:val="20"/>
        </w:rPr>
        <w:t>.</w:t>
      </w:r>
      <w:r w:rsidR="005E2014">
        <w:rPr>
          <w:rFonts w:ascii="Palatino Linotype" w:hAnsi="Palatino Linotype"/>
          <w:sz w:val="20"/>
          <w:szCs w:val="20"/>
        </w:rPr>
        <w:t xml:space="preserve">  Finally, subdivision (e) ensures that members of the public will be able to access workers’ compensation remotely, with the Division of Workers’ Compensation providing information regarding access to hearings.</w:t>
      </w:r>
    </w:p>
    <w:p w14:paraId="2DC19868" w14:textId="77777777" w:rsidR="0067139A" w:rsidRPr="00A426B4" w:rsidRDefault="0067139A" w:rsidP="00A426B4">
      <w:pPr>
        <w:pStyle w:val="Heading4"/>
      </w:pPr>
      <w:r w:rsidRPr="00A426B4">
        <w:t>Rule Adopted:</w:t>
      </w:r>
      <w:r w:rsidR="00AD0579" w:rsidRPr="00A426B4">
        <w:t xml:space="preserve"> </w:t>
      </w:r>
      <w:bookmarkStart w:id="27" w:name="Rule10816_ElectronicAppearances"/>
      <w:r w:rsidR="00AD0579" w:rsidRPr="00A426B4">
        <w:t>10816</w:t>
      </w:r>
      <w:r w:rsidRPr="00A426B4">
        <w:t xml:space="preserve"> “</w:t>
      </w:r>
      <w:r w:rsidR="00A137CC" w:rsidRPr="00A426B4">
        <w:t xml:space="preserve">Electronic </w:t>
      </w:r>
      <w:r w:rsidR="00AD0579" w:rsidRPr="00A426B4">
        <w:t>Appearances Before the Workers’ Compensation Appeals Board</w:t>
      </w:r>
      <w:r w:rsidRPr="00A426B4">
        <w:t>.”</w:t>
      </w:r>
      <w:bookmarkEnd w:id="27"/>
    </w:p>
    <w:p w14:paraId="77008826" w14:textId="77777777" w:rsidR="0067139A" w:rsidRPr="00A426B4" w:rsidRDefault="0067139A" w:rsidP="00A426B4">
      <w:pPr>
        <w:pStyle w:val="Heading5"/>
      </w:pPr>
      <w:r w:rsidRPr="00A426B4">
        <w:t>Statement of Specific Purpose and Reasons for Proposed Adoption</w:t>
      </w:r>
      <w:r w:rsidR="003667F0" w:rsidRPr="00A426B4">
        <w:t xml:space="preserve"> of rule 10816</w:t>
      </w:r>
      <w:r w:rsidRPr="00A426B4">
        <w:t>.</w:t>
      </w:r>
    </w:p>
    <w:p w14:paraId="6A7406C0" w14:textId="77777777" w:rsidR="00EF7EDD" w:rsidRDefault="000819F2" w:rsidP="00EF7EDD">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To that end, w</w:t>
      </w:r>
      <w:r w:rsidRPr="00977B91">
        <w:rPr>
          <w:rFonts w:ascii="Palatino Linotype" w:hAnsi="Palatino Linotype"/>
          <w:sz w:val="20"/>
          <w:szCs w:val="20"/>
        </w:rPr>
        <w:t xml:space="preserve">e propose adding </w:t>
      </w:r>
      <w:r>
        <w:rPr>
          <w:rFonts w:ascii="Palatino Linotype" w:hAnsi="Palatino Linotype"/>
          <w:sz w:val="20"/>
          <w:szCs w:val="20"/>
        </w:rPr>
        <w:t>new rules 10815, 10816, and 10817 to create processes and structures for holding remote hearings, appearing remotely, and testifying remotely.</w:t>
      </w:r>
    </w:p>
    <w:p w14:paraId="0033D1CA" w14:textId="77777777" w:rsidR="00D40A42" w:rsidRPr="00977B91" w:rsidRDefault="00D40A42" w:rsidP="0067139A">
      <w:pPr>
        <w:jc w:val="both"/>
        <w:rPr>
          <w:rFonts w:ascii="Palatino Linotype" w:hAnsi="Palatino Linotype"/>
          <w:sz w:val="20"/>
          <w:szCs w:val="20"/>
        </w:rPr>
      </w:pPr>
      <w:r>
        <w:rPr>
          <w:rFonts w:ascii="Palatino Linotype" w:hAnsi="Palatino Linotype"/>
          <w:sz w:val="20"/>
          <w:szCs w:val="20"/>
        </w:rPr>
        <w:t xml:space="preserve">Rule 10816 sets forth the procedure for appearing electronically at workers’ compensation proceedings.  </w:t>
      </w:r>
      <w:r w:rsidR="00AF6ADD">
        <w:rPr>
          <w:rFonts w:ascii="Palatino Linotype" w:hAnsi="Palatino Linotype"/>
          <w:sz w:val="20"/>
          <w:szCs w:val="20"/>
        </w:rPr>
        <w:t xml:space="preserve">Subdivision (a) requires that a party who intends to appear electronically must file a </w:t>
      </w:r>
      <w:r w:rsidR="00EF7EDD">
        <w:rPr>
          <w:rFonts w:ascii="Palatino Linotype" w:hAnsi="Palatino Linotype"/>
          <w:sz w:val="20"/>
          <w:szCs w:val="20"/>
        </w:rPr>
        <w:t>petition showing good cause to do so, and subdivision</w:t>
      </w:r>
      <w:r w:rsidR="00AF6ADD">
        <w:rPr>
          <w:rFonts w:ascii="Palatino Linotype" w:hAnsi="Palatino Linotype"/>
          <w:sz w:val="20"/>
          <w:szCs w:val="20"/>
        </w:rPr>
        <w:t xml:space="preserve"> (b) </w:t>
      </w:r>
      <w:r w:rsidR="00EF7EDD">
        <w:rPr>
          <w:rFonts w:ascii="Palatino Linotype" w:hAnsi="Palatino Linotype"/>
          <w:sz w:val="20"/>
          <w:szCs w:val="20"/>
        </w:rPr>
        <w:t>creates a rebuttable presumption that all appearances at a hearing conducted electronically pursuant to rule 10815 will also be electronic.</w:t>
      </w:r>
    </w:p>
    <w:p w14:paraId="5F03E449" w14:textId="77777777" w:rsidR="0067139A" w:rsidRPr="00A426B4" w:rsidRDefault="0067139A" w:rsidP="00A426B4">
      <w:pPr>
        <w:pStyle w:val="Heading4"/>
      </w:pPr>
      <w:r w:rsidRPr="00A426B4">
        <w:t>Rule Adopted:</w:t>
      </w:r>
      <w:r w:rsidR="00AD0579" w:rsidRPr="00A426B4">
        <w:t xml:space="preserve"> </w:t>
      </w:r>
      <w:bookmarkStart w:id="28" w:name="Rule10817_ElectronicTestimony"/>
      <w:r w:rsidR="00AD0579" w:rsidRPr="00A426B4">
        <w:t>1081</w:t>
      </w:r>
      <w:r w:rsidRPr="00A426B4">
        <w:t>7 “</w:t>
      </w:r>
      <w:r w:rsidR="00A137CC" w:rsidRPr="00A426B4">
        <w:t xml:space="preserve">Electronic </w:t>
      </w:r>
      <w:r w:rsidR="00AD0579" w:rsidRPr="00A426B4">
        <w:t>Testimony Before the Workers’ Compensation Appeals Board</w:t>
      </w:r>
      <w:r w:rsidRPr="00A426B4">
        <w:t>.”</w:t>
      </w:r>
      <w:bookmarkEnd w:id="28"/>
    </w:p>
    <w:p w14:paraId="33599D50" w14:textId="77777777" w:rsidR="0067139A" w:rsidRPr="00A426B4" w:rsidRDefault="0067139A" w:rsidP="00A426B4">
      <w:pPr>
        <w:pStyle w:val="Heading5"/>
      </w:pPr>
      <w:r w:rsidRPr="00A426B4">
        <w:t>Statement of Specific Purpose and Reasons for Proposed Adoption</w:t>
      </w:r>
      <w:r w:rsidR="003667F0" w:rsidRPr="00A426B4">
        <w:t xml:space="preserve"> of rule 1081</w:t>
      </w:r>
      <w:r w:rsidRPr="00A426B4">
        <w:t>7.</w:t>
      </w:r>
    </w:p>
    <w:p w14:paraId="0FF4D14B" w14:textId="77777777" w:rsidR="00EF7EDD" w:rsidRDefault="000819F2" w:rsidP="00EF7EDD">
      <w:pPr>
        <w:jc w:val="both"/>
        <w:rPr>
          <w:rFonts w:ascii="Palatino Linotype" w:hAnsi="Palatino Linotype"/>
          <w:sz w:val="20"/>
          <w:szCs w:val="20"/>
        </w:rPr>
      </w:pPr>
      <w:r w:rsidRPr="00CF0B47">
        <w:rPr>
          <w:rFonts w:ascii="Palatino Linotype" w:hAnsi="Palatino Linotype"/>
          <w:sz w:val="20"/>
          <w:szCs w:val="20"/>
        </w:rPr>
        <w:t xml:space="preserve">In March 2020, the WCAB transitioned to virtual operations at the beginning of the novel coronavirus pandemic, which included </w:t>
      </w:r>
      <w:r>
        <w:rPr>
          <w:rFonts w:ascii="Palatino Linotype" w:hAnsi="Palatino Linotype"/>
          <w:sz w:val="20"/>
          <w:szCs w:val="20"/>
        </w:rPr>
        <w:t>the adoption of electronic signatures, service, and filing of documents by the Appeals Board</w:t>
      </w:r>
      <w:r w:rsidRPr="00CF0B47">
        <w:rPr>
          <w:rFonts w:ascii="Palatino Linotype" w:hAnsi="Palatino Linotype"/>
          <w:sz w:val="20"/>
          <w:szCs w:val="20"/>
        </w:rPr>
        <w:t xml:space="preserve"> </w:t>
      </w:r>
      <w:r>
        <w:rPr>
          <w:rFonts w:ascii="Palatino Linotype" w:hAnsi="Palatino Linotype"/>
          <w:sz w:val="20"/>
          <w:szCs w:val="20"/>
        </w:rPr>
        <w:t xml:space="preserve">as well as </w:t>
      </w:r>
      <w:r w:rsidRPr="00CF0B47">
        <w:rPr>
          <w:rFonts w:ascii="Palatino Linotype" w:hAnsi="Palatino Linotype"/>
          <w:sz w:val="20"/>
          <w:szCs w:val="20"/>
        </w:rPr>
        <w:t>the Division of Workers’ Compensation</w:t>
      </w:r>
      <w:r>
        <w:rPr>
          <w:rFonts w:ascii="Palatino Linotype" w:hAnsi="Palatino Linotype"/>
          <w:sz w:val="20"/>
          <w:szCs w:val="20"/>
        </w:rPr>
        <w:t>’s transition</w:t>
      </w:r>
      <w:r w:rsidRPr="00CF0B47">
        <w:rPr>
          <w:rFonts w:ascii="Palatino Linotype" w:hAnsi="Palatino Linotype"/>
          <w:sz w:val="20"/>
          <w:szCs w:val="20"/>
        </w:rPr>
        <w:t xml:space="preserve"> to remote hearings conducted via telephone and video.  To facilitate these changes, the Appeals Board suspended certain Rules.  Remote proceedings and the availability of electronic communication, filing, and service have increased access to </w:t>
      </w:r>
      <w:r w:rsidRPr="00CF0B47">
        <w:rPr>
          <w:rFonts w:ascii="Palatino Linotype" w:hAnsi="Palatino Linotype"/>
          <w:sz w:val="20"/>
          <w:szCs w:val="20"/>
        </w:rPr>
        <w:lastRenderedPageBreak/>
        <w:t xml:space="preserve">the workers’ compensation system for parties, their representatives, and the public. Based on the success of some of these innovations, the </w:t>
      </w:r>
      <w:r>
        <w:rPr>
          <w:rFonts w:ascii="Palatino Linotype" w:hAnsi="Palatino Linotype"/>
          <w:sz w:val="20"/>
          <w:szCs w:val="20"/>
        </w:rPr>
        <w:t>Appeals Board</w:t>
      </w:r>
      <w:r w:rsidRPr="00CF0B47">
        <w:rPr>
          <w:rFonts w:ascii="Palatino Linotype" w:hAnsi="Palatino Linotype"/>
          <w:sz w:val="20"/>
          <w:szCs w:val="20"/>
        </w:rPr>
        <w:t xml:space="preserve"> has determined that making these changes permanent would be beneficial to the public and to the administration of the workers’ compensation adjudicatory system.</w:t>
      </w:r>
      <w:r>
        <w:rPr>
          <w:rFonts w:ascii="Palatino Linotype" w:hAnsi="Palatino Linotype"/>
          <w:sz w:val="20"/>
          <w:szCs w:val="20"/>
        </w:rPr>
        <w:t xml:space="preserve">  To that end, w</w:t>
      </w:r>
      <w:r w:rsidRPr="00977B91">
        <w:rPr>
          <w:rFonts w:ascii="Palatino Linotype" w:hAnsi="Palatino Linotype"/>
          <w:sz w:val="20"/>
          <w:szCs w:val="20"/>
        </w:rPr>
        <w:t xml:space="preserve">e propose adding </w:t>
      </w:r>
      <w:r>
        <w:rPr>
          <w:rFonts w:ascii="Palatino Linotype" w:hAnsi="Palatino Linotype"/>
          <w:sz w:val="20"/>
          <w:szCs w:val="20"/>
        </w:rPr>
        <w:t>new rules 10815, 10816, and 10817 to create processes and structures for holding remote hearings, appearing remotely, and testifying remotely.</w:t>
      </w:r>
    </w:p>
    <w:p w14:paraId="3E0DEBCF" w14:textId="77777777" w:rsidR="0067139A" w:rsidRPr="00977B91" w:rsidRDefault="00AF6ADD" w:rsidP="0067139A">
      <w:pPr>
        <w:jc w:val="both"/>
        <w:rPr>
          <w:rFonts w:ascii="Palatino Linotype" w:hAnsi="Palatino Linotype"/>
          <w:sz w:val="20"/>
          <w:szCs w:val="20"/>
        </w:rPr>
      </w:pPr>
      <w:r>
        <w:rPr>
          <w:rFonts w:ascii="Palatino Linotype" w:hAnsi="Palatino Linotype"/>
          <w:sz w:val="20"/>
          <w:szCs w:val="20"/>
        </w:rPr>
        <w:t xml:space="preserve">Rule 10817 governs witness testimony given electronically.  </w:t>
      </w:r>
      <w:r w:rsidR="00852B5D">
        <w:rPr>
          <w:rFonts w:ascii="Palatino Linotype" w:hAnsi="Palatino Linotype"/>
          <w:sz w:val="20"/>
          <w:szCs w:val="20"/>
        </w:rPr>
        <w:t xml:space="preserve">Subdivision (a) requires that either the witness seeking to testify electronically, or the party offering that witness’s testimony, </w:t>
      </w:r>
      <w:r w:rsidR="00EF7EDD">
        <w:rPr>
          <w:rFonts w:ascii="Palatino Linotype" w:hAnsi="Palatino Linotype"/>
          <w:sz w:val="20"/>
          <w:szCs w:val="20"/>
        </w:rPr>
        <w:t>file a petition showing good cause for the testimony to be given electronically, and identifying</w:t>
      </w:r>
      <w:r w:rsidR="00852B5D">
        <w:rPr>
          <w:rFonts w:ascii="Palatino Linotype" w:hAnsi="Palatino Linotype"/>
          <w:sz w:val="20"/>
          <w:szCs w:val="20"/>
        </w:rPr>
        <w:t xml:space="preserve"> </w:t>
      </w:r>
      <w:r w:rsidR="00EF7EDD">
        <w:rPr>
          <w:rFonts w:ascii="Palatino Linotype" w:hAnsi="Palatino Linotype"/>
          <w:sz w:val="20"/>
          <w:szCs w:val="20"/>
        </w:rPr>
        <w:t>the witness’s full legal name and contact information.  Like subdivision (b) of rule 10817, subdivision</w:t>
      </w:r>
      <w:r w:rsidR="008142EB">
        <w:rPr>
          <w:rFonts w:ascii="Palatino Linotype" w:hAnsi="Palatino Linotype"/>
          <w:sz w:val="20"/>
          <w:szCs w:val="20"/>
        </w:rPr>
        <w:t xml:space="preserve"> (b) </w:t>
      </w:r>
      <w:r w:rsidR="00EF7EDD">
        <w:rPr>
          <w:rFonts w:ascii="Palatino Linotype" w:hAnsi="Palatino Linotype"/>
          <w:sz w:val="20"/>
          <w:szCs w:val="20"/>
        </w:rPr>
        <w:t>of rule 10817 creates a rebuttable presumption that all testimony given at a hearing conducted electronically pursuant to rule 10815 will also be electronic.</w:t>
      </w:r>
    </w:p>
    <w:p w14:paraId="371C3B91" w14:textId="77777777" w:rsidR="0067139A" w:rsidRPr="00A426B4" w:rsidRDefault="00AD0579" w:rsidP="00A426B4">
      <w:pPr>
        <w:pStyle w:val="Heading4"/>
      </w:pPr>
      <w:r w:rsidRPr="00A426B4">
        <w:t xml:space="preserve">Rule Amended: </w:t>
      </w:r>
      <w:bookmarkStart w:id="29" w:name="Rule10818_RecordingProceedings"/>
      <w:r w:rsidRPr="00A426B4">
        <w:t>10818</w:t>
      </w:r>
      <w:r w:rsidR="0067139A" w:rsidRPr="00A426B4">
        <w:t xml:space="preserve"> “</w:t>
      </w:r>
      <w:r w:rsidRPr="00A426B4">
        <w:t>Recording of Proceedings</w:t>
      </w:r>
      <w:r w:rsidR="0067139A" w:rsidRPr="00A426B4">
        <w:t>.”</w:t>
      </w:r>
      <w:bookmarkEnd w:id="29"/>
    </w:p>
    <w:p w14:paraId="5125FB92" w14:textId="77777777" w:rsidR="0067139A" w:rsidRPr="00A426B4" w:rsidRDefault="0067139A" w:rsidP="00A426B4">
      <w:pPr>
        <w:pStyle w:val="Heading5"/>
      </w:pPr>
      <w:r w:rsidRPr="00A426B4">
        <w:t>Statement of Specific Purpose and Reasons for Proposed Amendments of r</w:t>
      </w:r>
      <w:r w:rsidR="003667F0" w:rsidRPr="00A426B4">
        <w:t>ule 10818</w:t>
      </w:r>
      <w:r w:rsidRPr="00A426B4">
        <w:t>.</w:t>
      </w:r>
    </w:p>
    <w:p w14:paraId="3930FE56" w14:textId="77777777" w:rsidR="0067139A" w:rsidRDefault="0062592E" w:rsidP="0067139A">
      <w:pPr>
        <w:jc w:val="both"/>
        <w:rPr>
          <w:rFonts w:ascii="Palatino Linotype" w:hAnsi="Palatino Linotype"/>
          <w:sz w:val="20"/>
          <w:szCs w:val="20"/>
        </w:rPr>
      </w:pPr>
      <w:r>
        <w:rPr>
          <w:rFonts w:ascii="Palatino Linotype" w:hAnsi="Palatino Linotype"/>
          <w:sz w:val="20"/>
          <w:szCs w:val="20"/>
        </w:rPr>
        <w:t xml:space="preserve">Currently, rule 10818 is nearly identical to California Rule of Court 1.150, with specific changes to make it more applicable to the workers’ compensation context.  </w:t>
      </w:r>
      <w:r w:rsidR="0067139A">
        <w:rPr>
          <w:rFonts w:ascii="Palatino Linotype" w:hAnsi="Palatino Linotype"/>
          <w:sz w:val="20"/>
          <w:szCs w:val="20"/>
        </w:rPr>
        <w:t xml:space="preserve">We propose </w:t>
      </w:r>
      <w:r w:rsidR="008142EB">
        <w:rPr>
          <w:rFonts w:ascii="Palatino Linotype" w:hAnsi="Palatino Linotype"/>
          <w:sz w:val="20"/>
          <w:szCs w:val="20"/>
        </w:rPr>
        <w:t>amending rule 10818 to simplify the process for recording proceedings</w:t>
      </w:r>
      <w:r>
        <w:rPr>
          <w:rFonts w:ascii="Palatino Linotype" w:hAnsi="Palatino Linotype"/>
          <w:sz w:val="20"/>
          <w:szCs w:val="20"/>
        </w:rPr>
        <w:t>, which i</w:t>
      </w:r>
      <w:r w:rsidR="008142EB">
        <w:rPr>
          <w:rFonts w:ascii="Palatino Linotype" w:hAnsi="Palatino Linotype"/>
          <w:sz w:val="20"/>
          <w:szCs w:val="20"/>
        </w:rPr>
        <w:t xml:space="preserve">n turn will facilitate remote hearings.  </w:t>
      </w:r>
      <w:r>
        <w:rPr>
          <w:rFonts w:ascii="Palatino Linotype" w:hAnsi="Palatino Linotype"/>
          <w:sz w:val="20"/>
          <w:szCs w:val="20"/>
        </w:rPr>
        <w:t xml:space="preserve">These amendments involve </w:t>
      </w:r>
      <w:r w:rsidR="008234D0">
        <w:rPr>
          <w:rFonts w:ascii="Palatino Linotype" w:hAnsi="Palatino Linotype"/>
          <w:sz w:val="20"/>
          <w:szCs w:val="20"/>
        </w:rPr>
        <w:t>removing superfluous language</w:t>
      </w:r>
      <w:r>
        <w:rPr>
          <w:rFonts w:ascii="Palatino Linotype" w:hAnsi="Palatino Linotype"/>
          <w:sz w:val="20"/>
          <w:szCs w:val="20"/>
        </w:rPr>
        <w:t>; removing</w:t>
      </w:r>
      <w:r w:rsidR="008234D0">
        <w:rPr>
          <w:rFonts w:ascii="Palatino Linotype" w:hAnsi="Palatino Linotype"/>
          <w:sz w:val="20"/>
          <w:szCs w:val="20"/>
        </w:rPr>
        <w:t xml:space="preserve"> sections that are more properly the subject of the</w:t>
      </w:r>
      <w:r>
        <w:rPr>
          <w:rFonts w:ascii="Palatino Linotype" w:hAnsi="Palatino Linotype"/>
          <w:sz w:val="20"/>
          <w:szCs w:val="20"/>
        </w:rPr>
        <w:t xml:space="preserve"> Policy and Procedural Manual; clarifying when a recording may be made for personal use; </w:t>
      </w:r>
      <w:r w:rsidR="00842B02">
        <w:rPr>
          <w:rFonts w:ascii="Palatino Linotype" w:hAnsi="Palatino Linotype"/>
          <w:sz w:val="20"/>
          <w:szCs w:val="20"/>
        </w:rPr>
        <w:t>and making explicit that a violation of the rule may be the basis for sanctions or a citation for contempt.</w:t>
      </w:r>
    </w:p>
    <w:p w14:paraId="2799EB1B" w14:textId="77777777" w:rsidR="008234D0" w:rsidRPr="00A426B4" w:rsidRDefault="008234D0" w:rsidP="00A426B4">
      <w:pPr>
        <w:pStyle w:val="Heading4"/>
      </w:pPr>
      <w:r w:rsidRPr="00A426B4">
        <w:t xml:space="preserve">Rule Amended: </w:t>
      </w:r>
      <w:bookmarkStart w:id="30" w:name="Rule10832_NOIs"/>
      <w:r w:rsidRPr="00A426B4">
        <w:t>10832 “Notices of Intention and Orders after Notices of Intention.”</w:t>
      </w:r>
      <w:bookmarkEnd w:id="30"/>
    </w:p>
    <w:p w14:paraId="56DD37AF" w14:textId="77777777" w:rsidR="008234D0" w:rsidRPr="00A426B4" w:rsidRDefault="008234D0" w:rsidP="00A426B4">
      <w:pPr>
        <w:pStyle w:val="Heading5"/>
      </w:pPr>
      <w:r w:rsidRPr="00A426B4">
        <w:t>Statement of Specific Purpose and Reasons for Proposed Amendments of rule 10832.</w:t>
      </w:r>
    </w:p>
    <w:p w14:paraId="7FAE1C59" w14:textId="77777777" w:rsidR="008234D0" w:rsidRDefault="008234D0" w:rsidP="008234D0">
      <w:pPr>
        <w:jc w:val="both"/>
        <w:rPr>
          <w:rFonts w:ascii="Palatino Linotype" w:hAnsi="Palatino Linotype"/>
          <w:b/>
          <w:sz w:val="20"/>
          <w:szCs w:val="20"/>
        </w:rPr>
      </w:pPr>
      <w:r w:rsidRPr="00977B91">
        <w:rPr>
          <w:rFonts w:ascii="Palatino Linotype" w:hAnsi="Palatino Linotype"/>
          <w:sz w:val="20"/>
          <w:szCs w:val="20"/>
        </w:rPr>
        <w:t xml:space="preserve">We propose </w:t>
      </w:r>
      <w:r>
        <w:rPr>
          <w:rFonts w:ascii="Palatino Linotype" w:hAnsi="Palatino Linotype"/>
          <w:sz w:val="20"/>
          <w:szCs w:val="20"/>
        </w:rPr>
        <w:t>amending rule 10832</w:t>
      </w:r>
      <w:r w:rsidRPr="00977B91">
        <w:rPr>
          <w:rFonts w:ascii="Palatino Linotype" w:hAnsi="Palatino Linotype"/>
          <w:sz w:val="20"/>
          <w:szCs w:val="20"/>
        </w:rPr>
        <w:t xml:space="preserve"> to</w:t>
      </w:r>
      <w:r>
        <w:rPr>
          <w:rFonts w:ascii="Palatino Linotype" w:hAnsi="Palatino Linotype"/>
          <w:sz w:val="20"/>
          <w:szCs w:val="20"/>
        </w:rPr>
        <w:t xml:space="preserve"> remove language from subdivision (a)(4) to give workers’ compensation judges more flexibility in when they may issue a notice of intention submitting a matter  on the record.</w:t>
      </w:r>
      <w:r w:rsidRPr="00977B91">
        <w:rPr>
          <w:rFonts w:ascii="Palatino Linotype" w:hAnsi="Palatino Linotype"/>
          <w:sz w:val="20"/>
          <w:szCs w:val="20"/>
        </w:rPr>
        <w:t xml:space="preserve"> </w:t>
      </w:r>
      <w:r w:rsidR="00EF7EDD">
        <w:rPr>
          <w:rFonts w:ascii="Palatino Linotype" w:hAnsi="Palatino Linotype"/>
          <w:sz w:val="20"/>
          <w:szCs w:val="20"/>
        </w:rPr>
        <w:t xml:space="preserve"> We also propose rewording subdivisions (a)(1) and (a)(2) to increase precision and accuracy of language.</w:t>
      </w:r>
    </w:p>
    <w:p w14:paraId="55827220" w14:textId="77777777" w:rsidR="00794993" w:rsidRPr="00A426B4" w:rsidRDefault="00794993" w:rsidP="00A426B4">
      <w:pPr>
        <w:pStyle w:val="Heading4"/>
      </w:pPr>
      <w:r w:rsidRPr="00A426B4">
        <w:t xml:space="preserve">Rule Amended: </w:t>
      </w:r>
      <w:bookmarkStart w:id="31" w:name="Rule10862_FilingServiceLienClaims"/>
      <w:r w:rsidRPr="00A426B4">
        <w:t>10</w:t>
      </w:r>
      <w:r w:rsidR="00AD0579" w:rsidRPr="00A426B4">
        <w:t>86</w:t>
      </w:r>
      <w:r w:rsidRPr="00A426B4">
        <w:t>2 “</w:t>
      </w:r>
      <w:r w:rsidR="00AD0579" w:rsidRPr="00A426B4">
        <w:t>Filing and Service of Lien Claims and Supporting Documents.</w:t>
      </w:r>
      <w:r w:rsidRPr="00A426B4">
        <w:t>”</w:t>
      </w:r>
      <w:bookmarkEnd w:id="31"/>
    </w:p>
    <w:p w14:paraId="08610FC4" w14:textId="77777777" w:rsidR="00794993" w:rsidRPr="00A426B4" w:rsidRDefault="00794993" w:rsidP="00A426B4">
      <w:pPr>
        <w:pStyle w:val="Heading5"/>
      </w:pPr>
      <w:r w:rsidRPr="00A426B4">
        <w:t>Statement of Specific Purpose and Reasons for P</w:t>
      </w:r>
      <w:r w:rsidR="003667F0" w:rsidRPr="00A426B4">
        <w:t>roposed Amendments of rule 10862</w:t>
      </w:r>
      <w:r w:rsidR="00FC0AB2" w:rsidRPr="00A426B4">
        <w:t>.</w:t>
      </w:r>
    </w:p>
    <w:p w14:paraId="0EA69963" w14:textId="77777777" w:rsidR="003667F0" w:rsidRDefault="00794993" w:rsidP="004E3392">
      <w:pPr>
        <w:jc w:val="both"/>
        <w:rPr>
          <w:rFonts w:ascii="Palatino Linotype" w:hAnsi="Palatino Linotype"/>
          <w:b/>
          <w:sz w:val="20"/>
          <w:szCs w:val="20"/>
        </w:rPr>
      </w:pPr>
      <w:r w:rsidRPr="00977B91">
        <w:rPr>
          <w:rFonts w:ascii="Palatino Linotype" w:hAnsi="Palatino Linotype"/>
          <w:sz w:val="20"/>
          <w:szCs w:val="20"/>
        </w:rPr>
        <w:t xml:space="preserve">We propose </w:t>
      </w:r>
      <w:r w:rsidR="003667F0">
        <w:rPr>
          <w:rFonts w:ascii="Palatino Linotype" w:hAnsi="Palatino Linotype"/>
          <w:sz w:val="20"/>
          <w:szCs w:val="20"/>
        </w:rPr>
        <w:t>amending rule 10862</w:t>
      </w:r>
      <w:r w:rsidRPr="00977B91">
        <w:rPr>
          <w:rFonts w:ascii="Palatino Linotype" w:hAnsi="Palatino Linotype"/>
          <w:sz w:val="20"/>
          <w:szCs w:val="20"/>
        </w:rPr>
        <w:t xml:space="preserve"> to</w:t>
      </w:r>
      <w:r w:rsidR="003667F0">
        <w:rPr>
          <w:rFonts w:ascii="Palatino Linotype" w:hAnsi="Palatino Linotype"/>
          <w:sz w:val="20"/>
          <w:szCs w:val="20"/>
        </w:rPr>
        <w:t xml:space="preserve"> correct the numbering within subdivision (e).</w:t>
      </w:r>
    </w:p>
    <w:sectPr w:rsidR="003667F0" w:rsidSect="00CF38E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2B58" w14:textId="77777777" w:rsidR="00DA02E4" w:rsidRDefault="00DA02E4" w:rsidP="00DE4EF9">
      <w:pPr>
        <w:spacing w:after="0" w:line="240" w:lineRule="auto"/>
      </w:pPr>
      <w:r>
        <w:separator/>
      </w:r>
    </w:p>
    <w:p w14:paraId="5FD9CF22" w14:textId="77777777" w:rsidR="00DA02E4" w:rsidRDefault="00DA02E4"/>
    <w:p w14:paraId="41EC2CD5" w14:textId="77777777" w:rsidR="00DA02E4" w:rsidRDefault="00DA02E4" w:rsidP="00A426B4"/>
  </w:endnote>
  <w:endnote w:type="continuationSeparator" w:id="0">
    <w:p w14:paraId="14501E32" w14:textId="77777777" w:rsidR="00DA02E4" w:rsidRDefault="00DA02E4" w:rsidP="00DE4EF9">
      <w:pPr>
        <w:spacing w:after="0" w:line="240" w:lineRule="auto"/>
      </w:pPr>
      <w:r>
        <w:continuationSeparator/>
      </w:r>
    </w:p>
    <w:p w14:paraId="60A3323D" w14:textId="77777777" w:rsidR="00DA02E4" w:rsidRDefault="00DA02E4"/>
    <w:p w14:paraId="6FCB3256" w14:textId="77777777" w:rsidR="00DA02E4" w:rsidRDefault="00DA02E4" w:rsidP="00A4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3D91" w14:textId="05C8FD91" w:rsidR="00EB73C5" w:rsidRPr="00977B91" w:rsidRDefault="00EB73C5" w:rsidP="003C5EF7">
    <w:pPr>
      <w:pStyle w:val="Footer"/>
      <w:jc w:val="center"/>
      <w:rPr>
        <w:rFonts w:ascii="Palatino Linotype" w:hAnsi="Palatino Linotype"/>
        <w:noProof/>
        <w:sz w:val="20"/>
        <w:szCs w:val="20"/>
      </w:rPr>
    </w:pPr>
    <w:r w:rsidRPr="00977B91">
      <w:rPr>
        <w:rFonts w:ascii="Palatino Linotype" w:hAnsi="Palatino Linotype"/>
        <w:sz w:val="20"/>
        <w:szCs w:val="20"/>
      </w:rPr>
      <w:fldChar w:fldCharType="begin"/>
    </w:r>
    <w:r w:rsidRPr="00977B91">
      <w:rPr>
        <w:rFonts w:ascii="Palatino Linotype" w:hAnsi="Palatino Linotype"/>
        <w:sz w:val="20"/>
        <w:szCs w:val="20"/>
      </w:rPr>
      <w:instrText xml:space="preserve"> PAGE   \* MERGEFORMAT </w:instrText>
    </w:r>
    <w:r w:rsidRPr="00977B91">
      <w:rPr>
        <w:rFonts w:ascii="Palatino Linotype" w:hAnsi="Palatino Linotype"/>
        <w:sz w:val="20"/>
        <w:szCs w:val="20"/>
      </w:rPr>
      <w:fldChar w:fldCharType="separate"/>
    </w:r>
    <w:r w:rsidR="00307727">
      <w:rPr>
        <w:rFonts w:ascii="Palatino Linotype" w:hAnsi="Palatino Linotype"/>
        <w:noProof/>
        <w:sz w:val="20"/>
        <w:szCs w:val="20"/>
      </w:rPr>
      <w:t>1</w:t>
    </w:r>
    <w:r w:rsidRPr="00977B91">
      <w:rPr>
        <w:rFonts w:ascii="Palatino Linotype" w:hAnsi="Palatino Linotype"/>
        <w:noProof/>
        <w:sz w:val="20"/>
        <w:szCs w:val="20"/>
      </w:rPr>
      <w:fldChar w:fldCharType="end"/>
    </w:r>
    <w:r w:rsidRPr="00977B91">
      <w:rPr>
        <w:rFonts w:ascii="Palatino Linotype" w:hAnsi="Palatino Linotype"/>
        <w:noProof/>
        <w:sz w:val="20"/>
        <w:szCs w:val="20"/>
      </w:rPr>
      <w:t xml:space="preserve">  </w:t>
    </w:r>
  </w:p>
  <w:p w14:paraId="74FCD1AB" w14:textId="30872BD6" w:rsidR="00431EF4" w:rsidRDefault="00EB73C5" w:rsidP="00CF38E9">
    <w:pPr>
      <w:pStyle w:val="Footer"/>
      <w:jc w:val="center"/>
      <w:rPr>
        <w:noProof/>
      </w:rPr>
    </w:pPr>
    <w:r w:rsidRPr="00977B91">
      <w:rPr>
        <w:rFonts w:ascii="Palatino Linotype" w:hAnsi="Palatino Linotype"/>
        <w:noProof/>
        <w:sz w:val="20"/>
        <w:szCs w:val="20"/>
      </w:rPr>
      <w:fldChar w:fldCharType="begin"/>
    </w:r>
    <w:r w:rsidRPr="00977B91">
      <w:rPr>
        <w:rFonts w:ascii="Palatino Linotype" w:hAnsi="Palatino Linotype"/>
        <w:noProof/>
        <w:sz w:val="20"/>
        <w:szCs w:val="20"/>
      </w:rPr>
      <w:instrText xml:space="preserve"> DATE \@ "dddd, MMMM dd, yyyy" </w:instrText>
    </w:r>
    <w:r w:rsidRPr="00977B91">
      <w:rPr>
        <w:rFonts w:ascii="Palatino Linotype" w:hAnsi="Palatino Linotype"/>
        <w:noProof/>
        <w:sz w:val="20"/>
        <w:szCs w:val="20"/>
      </w:rPr>
      <w:fldChar w:fldCharType="separate"/>
    </w:r>
    <w:r w:rsidR="00AC3F0C">
      <w:rPr>
        <w:rFonts w:ascii="Palatino Linotype" w:hAnsi="Palatino Linotype"/>
        <w:noProof/>
        <w:sz w:val="20"/>
        <w:szCs w:val="20"/>
      </w:rPr>
      <w:t>Friday, August 20, 2021</w:t>
    </w:r>
    <w:r w:rsidRPr="00977B91">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F8BC" w14:textId="77777777" w:rsidR="00DA02E4" w:rsidRDefault="00DA02E4" w:rsidP="00BA5613">
      <w:pPr>
        <w:spacing w:after="0" w:line="240" w:lineRule="auto"/>
      </w:pPr>
      <w:r>
        <w:separator/>
      </w:r>
    </w:p>
  </w:footnote>
  <w:footnote w:type="continuationSeparator" w:id="0">
    <w:p w14:paraId="5D926DA7" w14:textId="77777777" w:rsidR="00DA02E4" w:rsidRDefault="00DA02E4" w:rsidP="00DE4EF9">
      <w:pPr>
        <w:spacing w:after="0" w:line="240" w:lineRule="auto"/>
      </w:pPr>
      <w:r>
        <w:continuationSeparator/>
      </w:r>
    </w:p>
    <w:p w14:paraId="55859604" w14:textId="77777777" w:rsidR="00DA02E4" w:rsidRDefault="00DA02E4"/>
    <w:p w14:paraId="00D900A8" w14:textId="77777777" w:rsidR="00DA02E4" w:rsidRDefault="00DA02E4" w:rsidP="00A426B4"/>
  </w:footnote>
  <w:footnote w:id="1">
    <w:p w14:paraId="6E2B3597" w14:textId="159DDD24" w:rsidR="00EB73C5" w:rsidRPr="00FD313B" w:rsidRDefault="00EB73C5" w:rsidP="0060796D">
      <w:pPr>
        <w:pStyle w:val="FootnoteText"/>
      </w:pPr>
      <w:r w:rsidRPr="00FD313B">
        <w:rPr>
          <w:rStyle w:val="FootnoteReference"/>
          <w:rFonts w:ascii="Times New Roman" w:hAnsi="Times New Roman" w:cs="Times New Roman"/>
        </w:rPr>
        <w:footnoteRef/>
      </w:r>
      <w:r>
        <w:t xml:space="preserve"> </w:t>
      </w:r>
      <w:r w:rsidRPr="0060796D">
        <w:t>The WCAB rules are found in Cal. Code Regs., Title 8, Chapter 4.5, Subchapter 2, section 10300 et seq.</w:t>
      </w:r>
      <w:hyperlink w:anchor="ReturnInst1" w:history="1">
        <w:r w:rsidR="006472F1" w:rsidRPr="00F828D0">
          <w:rPr>
            <w:rStyle w:val="Hyperlink"/>
            <w:color w:val="FFFFFF" w:themeColor="background1"/>
          </w:rPr>
          <w:t xml:space="preserve"> Return.</w:t>
        </w:r>
      </w:hyperlink>
    </w:p>
  </w:footnote>
  <w:footnote w:id="2">
    <w:p w14:paraId="0AB3DB9E" w14:textId="3D830C53" w:rsidR="00EB73C5" w:rsidRPr="00FD313B" w:rsidRDefault="00EB73C5" w:rsidP="0060796D">
      <w:pPr>
        <w:pStyle w:val="FootnoteText"/>
      </w:pPr>
      <w:r w:rsidRPr="00FD313B">
        <w:rPr>
          <w:rStyle w:val="FootnoteReference"/>
          <w:rFonts w:ascii="Times New Roman" w:hAnsi="Times New Roman" w:cs="Times New Roman"/>
        </w:rPr>
        <w:footnoteRef/>
      </w:r>
      <w:r>
        <w:t xml:space="preserve"> </w:t>
      </w:r>
      <w:r w:rsidRPr="00FD313B">
        <w:t>All further statutory references are to the Labor Code unless otherwise specified.</w:t>
      </w:r>
      <w:hyperlink w:anchor="ReturnInst2" w:history="1">
        <w:r w:rsidR="00F828D0" w:rsidRPr="00F828D0">
          <w:rPr>
            <w:rStyle w:val="Hyperlink"/>
            <w:color w:val="FFFFFF" w:themeColor="background1"/>
          </w:rPr>
          <w:t xml:space="preserve"> Return.</w:t>
        </w:r>
      </w:hyperlink>
    </w:p>
  </w:footnote>
  <w:footnote w:id="3">
    <w:p w14:paraId="30FCF652" w14:textId="687F3A5E" w:rsidR="00EB73C5" w:rsidRPr="00FD313B" w:rsidRDefault="00EB73C5" w:rsidP="0060796D">
      <w:pPr>
        <w:pStyle w:val="FootnoteText"/>
      </w:pPr>
      <w:r w:rsidRPr="00FD313B">
        <w:rPr>
          <w:rStyle w:val="FootnoteReference"/>
          <w:rFonts w:ascii="Times New Roman" w:hAnsi="Times New Roman" w:cs="Times New Roman"/>
        </w:rPr>
        <w:footnoteRef/>
      </w:r>
      <w:r w:rsidRPr="00FD313B">
        <w:t xml:space="preserve"> Under Government Code section 11351, the WCAB is not subject to Article 5 (Gov. Code, § 11346 et seq.), Article 6 (</w:t>
      </w:r>
      <w:r w:rsidRPr="00FD313B">
        <w:rPr>
          <w:i/>
        </w:rPr>
        <w:t>id</w:t>
      </w:r>
      <w:r w:rsidRPr="00FD313B">
        <w:t>. § 11349 et seq.), Article 7 (</w:t>
      </w:r>
      <w:r w:rsidRPr="00FD313B">
        <w:rPr>
          <w:i/>
        </w:rPr>
        <w:t>id</w:t>
      </w:r>
      <w:r w:rsidRPr="00FD313B">
        <w:t>. § 11349.7 et seq.), or Article 8 (</w:t>
      </w:r>
      <w:r w:rsidRPr="00FD313B">
        <w:rPr>
          <w:i/>
        </w:rPr>
        <w:t>id</w:t>
      </w:r>
      <w:r w:rsidRPr="00FD313B">
        <w:t>. § 11350 et seq.) of the rulemaking provisions of the Administrative Procedures Act (APA), with the sole exception that section 11346.4(a)(5) [publication in the California Regulatory Notice Register] does apply to the WCAB.</w:t>
      </w:r>
      <w:hyperlink w:anchor="ReturnInst3" w:history="1">
        <w:r w:rsidR="00F828D0" w:rsidRPr="00F828D0">
          <w:rPr>
            <w:rStyle w:val="Hyperlink"/>
            <w:color w:val="FFFFFF" w:themeColor="background1"/>
          </w:rPr>
          <w:t xml:space="preserve"> Return.</w:t>
        </w:r>
      </w:hyperlink>
    </w:p>
  </w:footnote>
  <w:footnote w:id="4">
    <w:p w14:paraId="73826AEC" w14:textId="72F6D2A5" w:rsidR="00B71DB4" w:rsidRPr="0033312D" w:rsidRDefault="00B71DB4" w:rsidP="0060796D">
      <w:pPr>
        <w:pStyle w:val="FootnoteText"/>
      </w:pPr>
      <w:r>
        <w:rPr>
          <w:rStyle w:val="FootnoteReference"/>
        </w:rPr>
        <w:footnoteRef/>
      </w:r>
      <w:r>
        <w:t xml:space="preserve"> </w:t>
      </w:r>
      <w:r w:rsidRPr="0033312D">
        <w:t>See COVID-19 State of Emergency Miscellaneous En Banc Orders nos. 260-266.</w:t>
      </w:r>
      <w:hyperlink w:anchor="ReturnInst4" w:history="1">
        <w:r w:rsidR="00F828D0" w:rsidRPr="00F828D0">
          <w:rPr>
            <w:rStyle w:val="Hyperlink"/>
            <w:color w:val="FFFFFF" w:themeColor="background1"/>
          </w:rPr>
          <w:t xml:space="preserve"> Return.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8C"/>
    <w:rsid w:val="00000E00"/>
    <w:rsid w:val="00003A4C"/>
    <w:rsid w:val="00005EA4"/>
    <w:rsid w:val="000060B9"/>
    <w:rsid w:val="00007A02"/>
    <w:rsid w:val="00011F61"/>
    <w:rsid w:val="0001222A"/>
    <w:rsid w:val="00013E15"/>
    <w:rsid w:val="0001482A"/>
    <w:rsid w:val="00014939"/>
    <w:rsid w:val="00017979"/>
    <w:rsid w:val="000210A8"/>
    <w:rsid w:val="0002277B"/>
    <w:rsid w:val="00022959"/>
    <w:rsid w:val="00023539"/>
    <w:rsid w:val="00023D50"/>
    <w:rsid w:val="00025FBA"/>
    <w:rsid w:val="000262CB"/>
    <w:rsid w:val="000308B8"/>
    <w:rsid w:val="00033506"/>
    <w:rsid w:val="00040282"/>
    <w:rsid w:val="00040985"/>
    <w:rsid w:val="000429F2"/>
    <w:rsid w:val="00043870"/>
    <w:rsid w:val="00044524"/>
    <w:rsid w:val="00044D73"/>
    <w:rsid w:val="00046678"/>
    <w:rsid w:val="00046B12"/>
    <w:rsid w:val="0005115C"/>
    <w:rsid w:val="00052A4A"/>
    <w:rsid w:val="000552D2"/>
    <w:rsid w:val="00063516"/>
    <w:rsid w:val="00063C97"/>
    <w:rsid w:val="000643F6"/>
    <w:rsid w:val="0006545C"/>
    <w:rsid w:val="00066736"/>
    <w:rsid w:val="00067483"/>
    <w:rsid w:val="00071432"/>
    <w:rsid w:val="000733E5"/>
    <w:rsid w:val="00075B66"/>
    <w:rsid w:val="000819F2"/>
    <w:rsid w:val="000851F9"/>
    <w:rsid w:val="00085B9E"/>
    <w:rsid w:val="00086CAB"/>
    <w:rsid w:val="000957E4"/>
    <w:rsid w:val="00095BD6"/>
    <w:rsid w:val="00095D04"/>
    <w:rsid w:val="0009726A"/>
    <w:rsid w:val="00097689"/>
    <w:rsid w:val="00097BBC"/>
    <w:rsid w:val="000A39AE"/>
    <w:rsid w:val="000A5691"/>
    <w:rsid w:val="000A7ADB"/>
    <w:rsid w:val="000B2F6F"/>
    <w:rsid w:val="000D0485"/>
    <w:rsid w:val="000D1E4B"/>
    <w:rsid w:val="000D252B"/>
    <w:rsid w:val="000D5246"/>
    <w:rsid w:val="000D6086"/>
    <w:rsid w:val="000D6C4A"/>
    <w:rsid w:val="000E0355"/>
    <w:rsid w:val="000E0469"/>
    <w:rsid w:val="000E11CD"/>
    <w:rsid w:val="000E5624"/>
    <w:rsid w:val="00103241"/>
    <w:rsid w:val="00104181"/>
    <w:rsid w:val="00107AB8"/>
    <w:rsid w:val="001120BC"/>
    <w:rsid w:val="00114F25"/>
    <w:rsid w:val="001230E1"/>
    <w:rsid w:val="001236BE"/>
    <w:rsid w:val="00124058"/>
    <w:rsid w:val="00133ACA"/>
    <w:rsid w:val="00135288"/>
    <w:rsid w:val="0013798A"/>
    <w:rsid w:val="00137FC7"/>
    <w:rsid w:val="001417C4"/>
    <w:rsid w:val="0014224B"/>
    <w:rsid w:val="0014552D"/>
    <w:rsid w:val="001517CD"/>
    <w:rsid w:val="001518CF"/>
    <w:rsid w:val="0015593E"/>
    <w:rsid w:val="00156083"/>
    <w:rsid w:val="00157E9E"/>
    <w:rsid w:val="001603D8"/>
    <w:rsid w:val="00162D31"/>
    <w:rsid w:val="00164CE0"/>
    <w:rsid w:val="001660AB"/>
    <w:rsid w:val="00166E74"/>
    <w:rsid w:val="00170D9A"/>
    <w:rsid w:val="0017664F"/>
    <w:rsid w:val="00181A9B"/>
    <w:rsid w:val="001830AD"/>
    <w:rsid w:val="00185FFE"/>
    <w:rsid w:val="001861BA"/>
    <w:rsid w:val="001877E4"/>
    <w:rsid w:val="00191DF5"/>
    <w:rsid w:val="001944E3"/>
    <w:rsid w:val="0019497E"/>
    <w:rsid w:val="001A3A68"/>
    <w:rsid w:val="001A53DD"/>
    <w:rsid w:val="001A5D96"/>
    <w:rsid w:val="001A747E"/>
    <w:rsid w:val="001A7748"/>
    <w:rsid w:val="001B0155"/>
    <w:rsid w:val="001B1DAE"/>
    <w:rsid w:val="001B3FCB"/>
    <w:rsid w:val="001B45D8"/>
    <w:rsid w:val="001B47EC"/>
    <w:rsid w:val="001B6DD6"/>
    <w:rsid w:val="001C06BA"/>
    <w:rsid w:val="001C14AB"/>
    <w:rsid w:val="001C6DB8"/>
    <w:rsid w:val="001D198B"/>
    <w:rsid w:val="001D26F3"/>
    <w:rsid w:val="001D27DF"/>
    <w:rsid w:val="001D45A7"/>
    <w:rsid w:val="001D49EB"/>
    <w:rsid w:val="001D5D96"/>
    <w:rsid w:val="001D61E8"/>
    <w:rsid w:val="001D78FA"/>
    <w:rsid w:val="001D7E11"/>
    <w:rsid w:val="001E0B35"/>
    <w:rsid w:val="001E246B"/>
    <w:rsid w:val="001E3C0D"/>
    <w:rsid w:val="001E5664"/>
    <w:rsid w:val="001E6714"/>
    <w:rsid w:val="001E6992"/>
    <w:rsid w:val="001F0E4E"/>
    <w:rsid w:val="001F175D"/>
    <w:rsid w:val="001F4283"/>
    <w:rsid w:val="002003B3"/>
    <w:rsid w:val="002101D2"/>
    <w:rsid w:val="00215EC7"/>
    <w:rsid w:val="002164C3"/>
    <w:rsid w:val="002170F2"/>
    <w:rsid w:val="002232D0"/>
    <w:rsid w:val="00224624"/>
    <w:rsid w:val="002266C6"/>
    <w:rsid w:val="00227D8A"/>
    <w:rsid w:val="00232C28"/>
    <w:rsid w:val="00247488"/>
    <w:rsid w:val="002516B6"/>
    <w:rsid w:val="00251CB7"/>
    <w:rsid w:val="002541AF"/>
    <w:rsid w:val="00255DB6"/>
    <w:rsid w:val="00261823"/>
    <w:rsid w:val="002627F3"/>
    <w:rsid w:val="00262C69"/>
    <w:rsid w:val="0026429E"/>
    <w:rsid w:val="00272A40"/>
    <w:rsid w:val="002736AD"/>
    <w:rsid w:val="002747AC"/>
    <w:rsid w:val="00274C01"/>
    <w:rsid w:val="00276AB0"/>
    <w:rsid w:val="00281C23"/>
    <w:rsid w:val="0028221D"/>
    <w:rsid w:val="00282A09"/>
    <w:rsid w:val="002936B4"/>
    <w:rsid w:val="0029438D"/>
    <w:rsid w:val="002949D3"/>
    <w:rsid w:val="00295603"/>
    <w:rsid w:val="00295790"/>
    <w:rsid w:val="002A0AA3"/>
    <w:rsid w:val="002A193D"/>
    <w:rsid w:val="002A687D"/>
    <w:rsid w:val="002B0D09"/>
    <w:rsid w:val="002B1505"/>
    <w:rsid w:val="002B65BA"/>
    <w:rsid w:val="002C0720"/>
    <w:rsid w:val="002C0C1F"/>
    <w:rsid w:val="002C3309"/>
    <w:rsid w:val="002C3CD6"/>
    <w:rsid w:val="002C5129"/>
    <w:rsid w:val="002D1819"/>
    <w:rsid w:val="002D3419"/>
    <w:rsid w:val="002D3E48"/>
    <w:rsid w:val="002D44BF"/>
    <w:rsid w:val="002D5FDE"/>
    <w:rsid w:val="002E039A"/>
    <w:rsid w:val="002E1BA4"/>
    <w:rsid w:val="002E394C"/>
    <w:rsid w:val="002E4023"/>
    <w:rsid w:val="002E62FE"/>
    <w:rsid w:val="002F0857"/>
    <w:rsid w:val="002F0ACD"/>
    <w:rsid w:val="002F3B16"/>
    <w:rsid w:val="002F44B5"/>
    <w:rsid w:val="002F5A5D"/>
    <w:rsid w:val="002F73B6"/>
    <w:rsid w:val="002F7DC1"/>
    <w:rsid w:val="00300041"/>
    <w:rsid w:val="003025B1"/>
    <w:rsid w:val="00302DE4"/>
    <w:rsid w:val="003036D7"/>
    <w:rsid w:val="0030538A"/>
    <w:rsid w:val="00307727"/>
    <w:rsid w:val="00310880"/>
    <w:rsid w:val="00311CDD"/>
    <w:rsid w:val="00313E6C"/>
    <w:rsid w:val="00314852"/>
    <w:rsid w:val="00314F6A"/>
    <w:rsid w:val="0031547B"/>
    <w:rsid w:val="0032053A"/>
    <w:rsid w:val="00321EC9"/>
    <w:rsid w:val="003236E9"/>
    <w:rsid w:val="00323926"/>
    <w:rsid w:val="00323EFB"/>
    <w:rsid w:val="00325DE1"/>
    <w:rsid w:val="003277CD"/>
    <w:rsid w:val="003300C4"/>
    <w:rsid w:val="0033090C"/>
    <w:rsid w:val="0033312D"/>
    <w:rsid w:val="0033565A"/>
    <w:rsid w:val="00336E0D"/>
    <w:rsid w:val="00341342"/>
    <w:rsid w:val="003502AA"/>
    <w:rsid w:val="00355359"/>
    <w:rsid w:val="00355A34"/>
    <w:rsid w:val="003667F0"/>
    <w:rsid w:val="003764BE"/>
    <w:rsid w:val="0037693D"/>
    <w:rsid w:val="00377810"/>
    <w:rsid w:val="0038382E"/>
    <w:rsid w:val="003858F7"/>
    <w:rsid w:val="00391A48"/>
    <w:rsid w:val="00394439"/>
    <w:rsid w:val="00395B1B"/>
    <w:rsid w:val="003A27E4"/>
    <w:rsid w:val="003A3CE9"/>
    <w:rsid w:val="003A3DB9"/>
    <w:rsid w:val="003A4C40"/>
    <w:rsid w:val="003A63A6"/>
    <w:rsid w:val="003B1738"/>
    <w:rsid w:val="003B2B91"/>
    <w:rsid w:val="003B2D9E"/>
    <w:rsid w:val="003B7627"/>
    <w:rsid w:val="003B7C31"/>
    <w:rsid w:val="003B7F98"/>
    <w:rsid w:val="003C0401"/>
    <w:rsid w:val="003C25A1"/>
    <w:rsid w:val="003C26FE"/>
    <w:rsid w:val="003C35E2"/>
    <w:rsid w:val="003C363B"/>
    <w:rsid w:val="003C5EF7"/>
    <w:rsid w:val="003C730D"/>
    <w:rsid w:val="003C76CE"/>
    <w:rsid w:val="003D0FF4"/>
    <w:rsid w:val="003D3101"/>
    <w:rsid w:val="003D398C"/>
    <w:rsid w:val="003E000D"/>
    <w:rsid w:val="003E079A"/>
    <w:rsid w:val="003E5AB1"/>
    <w:rsid w:val="003E79AE"/>
    <w:rsid w:val="003F1AAD"/>
    <w:rsid w:val="003F24C3"/>
    <w:rsid w:val="003F4A1B"/>
    <w:rsid w:val="003F7511"/>
    <w:rsid w:val="003F7C21"/>
    <w:rsid w:val="00400025"/>
    <w:rsid w:val="004005E3"/>
    <w:rsid w:val="00400F63"/>
    <w:rsid w:val="004112DC"/>
    <w:rsid w:val="00411B77"/>
    <w:rsid w:val="00413896"/>
    <w:rsid w:val="004140A7"/>
    <w:rsid w:val="00414F06"/>
    <w:rsid w:val="004158CD"/>
    <w:rsid w:val="00417272"/>
    <w:rsid w:val="004200D1"/>
    <w:rsid w:val="00421092"/>
    <w:rsid w:val="00421918"/>
    <w:rsid w:val="00424215"/>
    <w:rsid w:val="00431EF4"/>
    <w:rsid w:val="00433BBA"/>
    <w:rsid w:val="00434323"/>
    <w:rsid w:val="00434C8B"/>
    <w:rsid w:val="004361F4"/>
    <w:rsid w:val="00436827"/>
    <w:rsid w:val="00440F40"/>
    <w:rsid w:val="00443D6E"/>
    <w:rsid w:val="004444AF"/>
    <w:rsid w:val="004446D2"/>
    <w:rsid w:val="00445387"/>
    <w:rsid w:val="004505AD"/>
    <w:rsid w:val="00462D26"/>
    <w:rsid w:val="00463A3A"/>
    <w:rsid w:val="004642AC"/>
    <w:rsid w:val="00466880"/>
    <w:rsid w:val="00466927"/>
    <w:rsid w:val="00466FB5"/>
    <w:rsid w:val="00467230"/>
    <w:rsid w:val="0046755B"/>
    <w:rsid w:val="00471A28"/>
    <w:rsid w:val="00473D2A"/>
    <w:rsid w:val="00476FBA"/>
    <w:rsid w:val="004779A8"/>
    <w:rsid w:val="004807C5"/>
    <w:rsid w:val="00480C6D"/>
    <w:rsid w:val="00486B61"/>
    <w:rsid w:val="00487D46"/>
    <w:rsid w:val="004911B3"/>
    <w:rsid w:val="00493A35"/>
    <w:rsid w:val="00494630"/>
    <w:rsid w:val="0049531D"/>
    <w:rsid w:val="00497E76"/>
    <w:rsid w:val="004A2ED3"/>
    <w:rsid w:val="004A3210"/>
    <w:rsid w:val="004A4F77"/>
    <w:rsid w:val="004A5747"/>
    <w:rsid w:val="004B14D4"/>
    <w:rsid w:val="004B61E5"/>
    <w:rsid w:val="004B7733"/>
    <w:rsid w:val="004D03C7"/>
    <w:rsid w:val="004D181F"/>
    <w:rsid w:val="004D1881"/>
    <w:rsid w:val="004D5032"/>
    <w:rsid w:val="004D6CE4"/>
    <w:rsid w:val="004D71AE"/>
    <w:rsid w:val="004E2349"/>
    <w:rsid w:val="004E3392"/>
    <w:rsid w:val="004E3C43"/>
    <w:rsid w:val="004E4CDE"/>
    <w:rsid w:val="004E526F"/>
    <w:rsid w:val="004E5692"/>
    <w:rsid w:val="004F35F9"/>
    <w:rsid w:val="004F69AD"/>
    <w:rsid w:val="004F6ACB"/>
    <w:rsid w:val="004F6DCC"/>
    <w:rsid w:val="00500FBF"/>
    <w:rsid w:val="0050275F"/>
    <w:rsid w:val="00507255"/>
    <w:rsid w:val="00511322"/>
    <w:rsid w:val="00515E09"/>
    <w:rsid w:val="00516EC9"/>
    <w:rsid w:val="005170B5"/>
    <w:rsid w:val="0051741A"/>
    <w:rsid w:val="005215B6"/>
    <w:rsid w:val="0052196A"/>
    <w:rsid w:val="00522059"/>
    <w:rsid w:val="00523B39"/>
    <w:rsid w:val="005267BA"/>
    <w:rsid w:val="00530935"/>
    <w:rsid w:val="0053204F"/>
    <w:rsid w:val="005342A4"/>
    <w:rsid w:val="0053693A"/>
    <w:rsid w:val="00537F4B"/>
    <w:rsid w:val="005417A7"/>
    <w:rsid w:val="00541C0B"/>
    <w:rsid w:val="00543762"/>
    <w:rsid w:val="005442A4"/>
    <w:rsid w:val="00550A2D"/>
    <w:rsid w:val="00552B7C"/>
    <w:rsid w:val="00553434"/>
    <w:rsid w:val="0055520B"/>
    <w:rsid w:val="0055595E"/>
    <w:rsid w:val="005568AE"/>
    <w:rsid w:val="00561F77"/>
    <w:rsid w:val="00563388"/>
    <w:rsid w:val="00564E3B"/>
    <w:rsid w:val="00573964"/>
    <w:rsid w:val="00574E36"/>
    <w:rsid w:val="005778B0"/>
    <w:rsid w:val="0058021E"/>
    <w:rsid w:val="00583F2A"/>
    <w:rsid w:val="0059344A"/>
    <w:rsid w:val="00593CCF"/>
    <w:rsid w:val="0059609B"/>
    <w:rsid w:val="005978F9"/>
    <w:rsid w:val="005A396D"/>
    <w:rsid w:val="005A50B3"/>
    <w:rsid w:val="005B0F25"/>
    <w:rsid w:val="005B1D17"/>
    <w:rsid w:val="005B2E06"/>
    <w:rsid w:val="005B32D8"/>
    <w:rsid w:val="005B6D11"/>
    <w:rsid w:val="005B77B9"/>
    <w:rsid w:val="005B789A"/>
    <w:rsid w:val="005C2C4C"/>
    <w:rsid w:val="005C2EB8"/>
    <w:rsid w:val="005C359C"/>
    <w:rsid w:val="005C4EBD"/>
    <w:rsid w:val="005C59E1"/>
    <w:rsid w:val="005D05BC"/>
    <w:rsid w:val="005D2DD9"/>
    <w:rsid w:val="005D5C00"/>
    <w:rsid w:val="005E2014"/>
    <w:rsid w:val="005E227A"/>
    <w:rsid w:val="005E728E"/>
    <w:rsid w:val="005F0E27"/>
    <w:rsid w:val="005F1941"/>
    <w:rsid w:val="005F2930"/>
    <w:rsid w:val="005F72A7"/>
    <w:rsid w:val="00600D74"/>
    <w:rsid w:val="0060209A"/>
    <w:rsid w:val="006067AD"/>
    <w:rsid w:val="0060796D"/>
    <w:rsid w:val="00611B2B"/>
    <w:rsid w:val="0061209A"/>
    <w:rsid w:val="0061409C"/>
    <w:rsid w:val="0061427D"/>
    <w:rsid w:val="00617189"/>
    <w:rsid w:val="0062592E"/>
    <w:rsid w:val="00632D84"/>
    <w:rsid w:val="00636448"/>
    <w:rsid w:val="00636B7B"/>
    <w:rsid w:val="0064721B"/>
    <w:rsid w:val="006472F1"/>
    <w:rsid w:val="00647568"/>
    <w:rsid w:val="00647F1B"/>
    <w:rsid w:val="0065582D"/>
    <w:rsid w:val="00655D56"/>
    <w:rsid w:val="006625F3"/>
    <w:rsid w:val="00664166"/>
    <w:rsid w:val="00664C14"/>
    <w:rsid w:val="00666468"/>
    <w:rsid w:val="006677F5"/>
    <w:rsid w:val="0067139A"/>
    <w:rsid w:val="0067160C"/>
    <w:rsid w:val="006726C8"/>
    <w:rsid w:val="00674ABA"/>
    <w:rsid w:val="00675C5B"/>
    <w:rsid w:val="0067749A"/>
    <w:rsid w:val="0068334E"/>
    <w:rsid w:val="0068448D"/>
    <w:rsid w:val="006902AA"/>
    <w:rsid w:val="006908B4"/>
    <w:rsid w:val="006A08A2"/>
    <w:rsid w:val="006A58FB"/>
    <w:rsid w:val="006A6422"/>
    <w:rsid w:val="006B00C2"/>
    <w:rsid w:val="006B117F"/>
    <w:rsid w:val="006B3C14"/>
    <w:rsid w:val="006B6654"/>
    <w:rsid w:val="006B6C80"/>
    <w:rsid w:val="006C1B46"/>
    <w:rsid w:val="006C1D0B"/>
    <w:rsid w:val="006C286C"/>
    <w:rsid w:val="006C6530"/>
    <w:rsid w:val="006D1261"/>
    <w:rsid w:val="006D3CFE"/>
    <w:rsid w:val="006E1D57"/>
    <w:rsid w:val="006E2626"/>
    <w:rsid w:val="006E5969"/>
    <w:rsid w:val="006E5B12"/>
    <w:rsid w:val="006F0E6A"/>
    <w:rsid w:val="006F3ED6"/>
    <w:rsid w:val="006F4C58"/>
    <w:rsid w:val="006F6721"/>
    <w:rsid w:val="006F7E51"/>
    <w:rsid w:val="00702E00"/>
    <w:rsid w:val="00706347"/>
    <w:rsid w:val="00706F5E"/>
    <w:rsid w:val="00710B68"/>
    <w:rsid w:val="0071272C"/>
    <w:rsid w:val="00713132"/>
    <w:rsid w:val="00713F0D"/>
    <w:rsid w:val="007146AD"/>
    <w:rsid w:val="00715101"/>
    <w:rsid w:val="0071798C"/>
    <w:rsid w:val="00721674"/>
    <w:rsid w:val="00721FE6"/>
    <w:rsid w:val="00724AAC"/>
    <w:rsid w:val="00727AA1"/>
    <w:rsid w:val="00734606"/>
    <w:rsid w:val="007406F3"/>
    <w:rsid w:val="007431CD"/>
    <w:rsid w:val="007455E8"/>
    <w:rsid w:val="0074565D"/>
    <w:rsid w:val="00745C4B"/>
    <w:rsid w:val="00746569"/>
    <w:rsid w:val="007564CF"/>
    <w:rsid w:val="0076169B"/>
    <w:rsid w:val="00773585"/>
    <w:rsid w:val="00780AB2"/>
    <w:rsid w:val="00783ED9"/>
    <w:rsid w:val="00786D39"/>
    <w:rsid w:val="00786F6A"/>
    <w:rsid w:val="00792C8C"/>
    <w:rsid w:val="0079344F"/>
    <w:rsid w:val="00793538"/>
    <w:rsid w:val="00794545"/>
    <w:rsid w:val="00794993"/>
    <w:rsid w:val="00795325"/>
    <w:rsid w:val="007A027E"/>
    <w:rsid w:val="007A0B37"/>
    <w:rsid w:val="007A4047"/>
    <w:rsid w:val="007A5B1D"/>
    <w:rsid w:val="007A5F6A"/>
    <w:rsid w:val="007A6470"/>
    <w:rsid w:val="007B121C"/>
    <w:rsid w:val="007B3AA7"/>
    <w:rsid w:val="007B5669"/>
    <w:rsid w:val="007B6DED"/>
    <w:rsid w:val="007C51C6"/>
    <w:rsid w:val="007C5AA5"/>
    <w:rsid w:val="007C7824"/>
    <w:rsid w:val="007D4AD8"/>
    <w:rsid w:val="007D70C7"/>
    <w:rsid w:val="007D7485"/>
    <w:rsid w:val="007D7D73"/>
    <w:rsid w:val="007E13DC"/>
    <w:rsid w:val="007F037E"/>
    <w:rsid w:val="00801257"/>
    <w:rsid w:val="00802523"/>
    <w:rsid w:val="00802BC0"/>
    <w:rsid w:val="00810A8A"/>
    <w:rsid w:val="00810FBA"/>
    <w:rsid w:val="00810FF6"/>
    <w:rsid w:val="00811113"/>
    <w:rsid w:val="008142EB"/>
    <w:rsid w:val="00814AD4"/>
    <w:rsid w:val="008157D4"/>
    <w:rsid w:val="008216A0"/>
    <w:rsid w:val="0082333C"/>
    <w:rsid w:val="008234D0"/>
    <w:rsid w:val="00824227"/>
    <w:rsid w:val="00824A14"/>
    <w:rsid w:val="00825567"/>
    <w:rsid w:val="008274CC"/>
    <w:rsid w:val="00827D7C"/>
    <w:rsid w:val="008325AE"/>
    <w:rsid w:val="008331A0"/>
    <w:rsid w:val="00833E7D"/>
    <w:rsid w:val="00834C9E"/>
    <w:rsid w:val="0084031C"/>
    <w:rsid w:val="00842B02"/>
    <w:rsid w:val="00842C2D"/>
    <w:rsid w:val="00846056"/>
    <w:rsid w:val="008474A2"/>
    <w:rsid w:val="00851172"/>
    <w:rsid w:val="00851BBB"/>
    <w:rsid w:val="00852B5D"/>
    <w:rsid w:val="00861E5C"/>
    <w:rsid w:val="008661D0"/>
    <w:rsid w:val="00867513"/>
    <w:rsid w:val="00867C2F"/>
    <w:rsid w:val="0087250B"/>
    <w:rsid w:val="00874741"/>
    <w:rsid w:val="00874D72"/>
    <w:rsid w:val="00875971"/>
    <w:rsid w:val="008763B1"/>
    <w:rsid w:val="00884CBE"/>
    <w:rsid w:val="00886D94"/>
    <w:rsid w:val="00886E36"/>
    <w:rsid w:val="008875AC"/>
    <w:rsid w:val="008A1692"/>
    <w:rsid w:val="008B240F"/>
    <w:rsid w:val="008B4534"/>
    <w:rsid w:val="008C16DE"/>
    <w:rsid w:val="008C63E5"/>
    <w:rsid w:val="008D04E7"/>
    <w:rsid w:val="008D15D7"/>
    <w:rsid w:val="008E1F85"/>
    <w:rsid w:val="008F2E2B"/>
    <w:rsid w:val="008F545C"/>
    <w:rsid w:val="008F568C"/>
    <w:rsid w:val="008F7848"/>
    <w:rsid w:val="00901A45"/>
    <w:rsid w:val="009046E2"/>
    <w:rsid w:val="00904D71"/>
    <w:rsid w:val="0090526C"/>
    <w:rsid w:val="009160B6"/>
    <w:rsid w:val="00921F2E"/>
    <w:rsid w:val="0092203A"/>
    <w:rsid w:val="009247A3"/>
    <w:rsid w:val="00926A52"/>
    <w:rsid w:val="00932A85"/>
    <w:rsid w:val="009375DE"/>
    <w:rsid w:val="00945F46"/>
    <w:rsid w:val="00951365"/>
    <w:rsid w:val="00951F21"/>
    <w:rsid w:val="009620D3"/>
    <w:rsid w:val="0096549E"/>
    <w:rsid w:val="0096677A"/>
    <w:rsid w:val="0096730B"/>
    <w:rsid w:val="009679B2"/>
    <w:rsid w:val="00967F93"/>
    <w:rsid w:val="0097025F"/>
    <w:rsid w:val="00972F10"/>
    <w:rsid w:val="009735AB"/>
    <w:rsid w:val="00974B80"/>
    <w:rsid w:val="009773EB"/>
    <w:rsid w:val="00977B91"/>
    <w:rsid w:val="00980FC7"/>
    <w:rsid w:val="009837B4"/>
    <w:rsid w:val="0099190A"/>
    <w:rsid w:val="009942CA"/>
    <w:rsid w:val="00994AB9"/>
    <w:rsid w:val="00996C0F"/>
    <w:rsid w:val="00996C22"/>
    <w:rsid w:val="009A14EB"/>
    <w:rsid w:val="009A5BA4"/>
    <w:rsid w:val="009A6E32"/>
    <w:rsid w:val="009B2C89"/>
    <w:rsid w:val="009B354A"/>
    <w:rsid w:val="009B6117"/>
    <w:rsid w:val="009C1403"/>
    <w:rsid w:val="009C1559"/>
    <w:rsid w:val="009C2A71"/>
    <w:rsid w:val="009C2D9F"/>
    <w:rsid w:val="009C4041"/>
    <w:rsid w:val="009C4094"/>
    <w:rsid w:val="009C6B7D"/>
    <w:rsid w:val="009C7F25"/>
    <w:rsid w:val="009D18BE"/>
    <w:rsid w:val="009D5168"/>
    <w:rsid w:val="009D5DDD"/>
    <w:rsid w:val="009D6BE8"/>
    <w:rsid w:val="009E2D42"/>
    <w:rsid w:val="009E2E95"/>
    <w:rsid w:val="009E34C0"/>
    <w:rsid w:val="009E38F5"/>
    <w:rsid w:val="009E5E37"/>
    <w:rsid w:val="009E6035"/>
    <w:rsid w:val="009F0C8E"/>
    <w:rsid w:val="009F2AAC"/>
    <w:rsid w:val="009F409C"/>
    <w:rsid w:val="009F73E3"/>
    <w:rsid w:val="009F7B02"/>
    <w:rsid w:val="00A0168B"/>
    <w:rsid w:val="00A02A3C"/>
    <w:rsid w:val="00A05405"/>
    <w:rsid w:val="00A05F2F"/>
    <w:rsid w:val="00A06711"/>
    <w:rsid w:val="00A12E6C"/>
    <w:rsid w:val="00A137CC"/>
    <w:rsid w:val="00A13B7A"/>
    <w:rsid w:val="00A158D9"/>
    <w:rsid w:val="00A15BD3"/>
    <w:rsid w:val="00A15F37"/>
    <w:rsid w:val="00A163BF"/>
    <w:rsid w:val="00A31335"/>
    <w:rsid w:val="00A31713"/>
    <w:rsid w:val="00A31B72"/>
    <w:rsid w:val="00A34ACD"/>
    <w:rsid w:val="00A41FC7"/>
    <w:rsid w:val="00A426B4"/>
    <w:rsid w:val="00A429CB"/>
    <w:rsid w:val="00A4597D"/>
    <w:rsid w:val="00A473D4"/>
    <w:rsid w:val="00A5360D"/>
    <w:rsid w:val="00A56071"/>
    <w:rsid w:val="00A5680B"/>
    <w:rsid w:val="00A575BD"/>
    <w:rsid w:val="00A646DB"/>
    <w:rsid w:val="00A66A1E"/>
    <w:rsid w:val="00A66BF0"/>
    <w:rsid w:val="00A71669"/>
    <w:rsid w:val="00A74E78"/>
    <w:rsid w:val="00A802E6"/>
    <w:rsid w:val="00A803BA"/>
    <w:rsid w:val="00A8061D"/>
    <w:rsid w:val="00A8248B"/>
    <w:rsid w:val="00A921B8"/>
    <w:rsid w:val="00A94BF5"/>
    <w:rsid w:val="00A95797"/>
    <w:rsid w:val="00AA3A5F"/>
    <w:rsid w:val="00AA4EA7"/>
    <w:rsid w:val="00AA5745"/>
    <w:rsid w:val="00AB2F83"/>
    <w:rsid w:val="00AB336A"/>
    <w:rsid w:val="00AB6E6A"/>
    <w:rsid w:val="00AC1C5D"/>
    <w:rsid w:val="00AC3F0C"/>
    <w:rsid w:val="00AC5950"/>
    <w:rsid w:val="00AC5C25"/>
    <w:rsid w:val="00AC76B3"/>
    <w:rsid w:val="00AC7B10"/>
    <w:rsid w:val="00AD0579"/>
    <w:rsid w:val="00AD259F"/>
    <w:rsid w:val="00AD2730"/>
    <w:rsid w:val="00AD2822"/>
    <w:rsid w:val="00AD339C"/>
    <w:rsid w:val="00AD5E41"/>
    <w:rsid w:val="00AE5BE9"/>
    <w:rsid w:val="00AE7158"/>
    <w:rsid w:val="00AF0BF5"/>
    <w:rsid w:val="00AF238E"/>
    <w:rsid w:val="00AF2EF0"/>
    <w:rsid w:val="00AF34C1"/>
    <w:rsid w:val="00AF6ADD"/>
    <w:rsid w:val="00AF6BD7"/>
    <w:rsid w:val="00B01934"/>
    <w:rsid w:val="00B04C14"/>
    <w:rsid w:val="00B05974"/>
    <w:rsid w:val="00B07F6E"/>
    <w:rsid w:val="00B12F10"/>
    <w:rsid w:val="00B14EA6"/>
    <w:rsid w:val="00B15A53"/>
    <w:rsid w:val="00B160DD"/>
    <w:rsid w:val="00B21A33"/>
    <w:rsid w:val="00B246BF"/>
    <w:rsid w:val="00B26FD0"/>
    <w:rsid w:val="00B323D8"/>
    <w:rsid w:val="00B32F25"/>
    <w:rsid w:val="00B34246"/>
    <w:rsid w:val="00B34792"/>
    <w:rsid w:val="00B35575"/>
    <w:rsid w:val="00B4664C"/>
    <w:rsid w:val="00B4697D"/>
    <w:rsid w:val="00B51F1B"/>
    <w:rsid w:val="00B5430E"/>
    <w:rsid w:val="00B56840"/>
    <w:rsid w:val="00B61385"/>
    <w:rsid w:val="00B63977"/>
    <w:rsid w:val="00B66C09"/>
    <w:rsid w:val="00B67E30"/>
    <w:rsid w:val="00B71DB4"/>
    <w:rsid w:val="00B722AA"/>
    <w:rsid w:val="00B73978"/>
    <w:rsid w:val="00B8128E"/>
    <w:rsid w:val="00B813BA"/>
    <w:rsid w:val="00B81DA8"/>
    <w:rsid w:val="00B839E6"/>
    <w:rsid w:val="00B84DD3"/>
    <w:rsid w:val="00B850B5"/>
    <w:rsid w:val="00B87E58"/>
    <w:rsid w:val="00B90133"/>
    <w:rsid w:val="00BA031F"/>
    <w:rsid w:val="00BA1C6A"/>
    <w:rsid w:val="00BA285D"/>
    <w:rsid w:val="00BA5613"/>
    <w:rsid w:val="00BB4839"/>
    <w:rsid w:val="00BB52FE"/>
    <w:rsid w:val="00BC4F5E"/>
    <w:rsid w:val="00BC5ADA"/>
    <w:rsid w:val="00BD0CF7"/>
    <w:rsid w:val="00BD0EC2"/>
    <w:rsid w:val="00BD1781"/>
    <w:rsid w:val="00BD1D1C"/>
    <w:rsid w:val="00BD34A9"/>
    <w:rsid w:val="00BD35E6"/>
    <w:rsid w:val="00BD55FD"/>
    <w:rsid w:val="00BE01D9"/>
    <w:rsid w:val="00BE0A83"/>
    <w:rsid w:val="00BE2498"/>
    <w:rsid w:val="00BE265E"/>
    <w:rsid w:val="00BE3555"/>
    <w:rsid w:val="00BE7998"/>
    <w:rsid w:val="00BF0199"/>
    <w:rsid w:val="00BF212D"/>
    <w:rsid w:val="00BF2B99"/>
    <w:rsid w:val="00BF3507"/>
    <w:rsid w:val="00BF669A"/>
    <w:rsid w:val="00BF6BF8"/>
    <w:rsid w:val="00BF7F9B"/>
    <w:rsid w:val="00C03A11"/>
    <w:rsid w:val="00C0411D"/>
    <w:rsid w:val="00C0523D"/>
    <w:rsid w:val="00C06C06"/>
    <w:rsid w:val="00C07065"/>
    <w:rsid w:val="00C077DF"/>
    <w:rsid w:val="00C1114A"/>
    <w:rsid w:val="00C12BF3"/>
    <w:rsid w:val="00C15777"/>
    <w:rsid w:val="00C21BCE"/>
    <w:rsid w:val="00C248F0"/>
    <w:rsid w:val="00C344DD"/>
    <w:rsid w:val="00C35761"/>
    <w:rsid w:val="00C415F1"/>
    <w:rsid w:val="00C42CF2"/>
    <w:rsid w:val="00C451A0"/>
    <w:rsid w:val="00C451AC"/>
    <w:rsid w:val="00C509BD"/>
    <w:rsid w:val="00C50E6C"/>
    <w:rsid w:val="00C54BA9"/>
    <w:rsid w:val="00C55AA9"/>
    <w:rsid w:val="00C56D0A"/>
    <w:rsid w:val="00C60FA8"/>
    <w:rsid w:val="00C65B3E"/>
    <w:rsid w:val="00C738D0"/>
    <w:rsid w:val="00C7398F"/>
    <w:rsid w:val="00C75404"/>
    <w:rsid w:val="00C80EEA"/>
    <w:rsid w:val="00C83485"/>
    <w:rsid w:val="00C85E35"/>
    <w:rsid w:val="00C86DE0"/>
    <w:rsid w:val="00C91E0B"/>
    <w:rsid w:val="00C96B00"/>
    <w:rsid w:val="00C96F69"/>
    <w:rsid w:val="00C97CF0"/>
    <w:rsid w:val="00CA0EA3"/>
    <w:rsid w:val="00CA31F1"/>
    <w:rsid w:val="00CA4D70"/>
    <w:rsid w:val="00CA627B"/>
    <w:rsid w:val="00CA74D5"/>
    <w:rsid w:val="00CB0A00"/>
    <w:rsid w:val="00CB1662"/>
    <w:rsid w:val="00CB2843"/>
    <w:rsid w:val="00CB6B65"/>
    <w:rsid w:val="00CB72DE"/>
    <w:rsid w:val="00CD0D7F"/>
    <w:rsid w:val="00CD1C27"/>
    <w:rsid w:val="00CD2852"/>
    <w:rsid w:val="00CD2BE9"/>
    <w:rsid w:val="00CE1427"/>
    <w:rsid w:val="00CE1465"/>
    <w:rsid w:val="00CE3E2E"/>
    <w:rsid w:val="00CE4FB9"/>
    <w:rsid w:val="00CE5492"/>
    <w:rsid w:val="00CF0B47"/>
    <w:rsid w:val="00CF10AF"/>
    <w:rsid w:val="00CF2B8C"/>
    <w:rsid w:val="00CF3779"/>
    <w:rsid w:val="00CF384C"/>
    <w:rsid w:val="00CF38E9"/>
    <w:rsid w:val="00CF5DC6"/>
    <w:rsid w:val="00D004DC"/>
    <w:rsid w:val="00D053B4"/>
    <w:rsid w:val="00D10220"/>
    <w:rsid w:val="00D13251"/>
    <w:rsid w:val="00D14133"/>
    <w:rsid w:val="00D16574"/>
    <w:rsid w:val="00D23A1C"/>
    <w:rsid w:val="00D252D1"/>
    <w:rsid w:val="00D31943"/>
    <w:rsid w:val="00D35E1F"/>
    <w:rsid w:val="00D36065"/>
    <w:rsid w:val="00D40A42"/>
    <w:rsid w:val="00D40FA1"/>
    <w:rsid w:val="00D42180"/>
    <w:rsid w:val="00D4282B"/>
    <w:rsid w:val="00D44270"/>
    <w:rsid w:val="00D4480B"/>
    <w:rsid w:val="00D45383"/>
    <w:rsid w:val="00D45E32"/>
    <w:rsid w:val="00D4605E"/>
    <w:rsid w:val="00D46F8C"/>
    <w:rsid w:val="00D47768"/>
    <w:rsid w:val="00D53FFF"/>
    <w:rsid w:val="00D55D98"/>
    <w:rsid w:val="00D56615"/>
    <w:rsid w:val="00D57134"/>
    <w:rsid w:val="00D6484A"/>
    <w:rsid w:val="00D664E3"/>
    <w:rsid w:val="00D7081D"/>
    <w:rsid w:val="00D72643"/>
    <w:rsid w:val="00D737CC"/>
    <w:rsid w:val="00D7387D"/>
    <w:rsid w:val="00D747D4"/>
    <w:rsid w:val="00D75F9B"/>
    <w:rsid w:val="00D76E07"/>
    <w:rsid w:val="00D77089"/>
    <w:rsid w:val="00D814A3"/>
    <w:rsid w:val="00D82EE0"/>
    <w:rsid w:val="00D83716"/>
    <w:rsid w:val="00D8618E"/>
    <w:rsid w:val="00D871B4"/>
    <w:rsid w:val="00D924C6"/>
    <w:rsid w:val="00D92B1C"/>
    <w:rsid w:val="00D97D8E"/>
    <w:rsid w:val="00DA02E4"/>
    <w:rsid w:val="00DA1FDA"/>
    <w:rsid w:val="00DB07B8"/>
    <w:rsid w:val="00DB2450"/>
    <w:rsid w:val="00DB272F"/>
    <w:rsid w:val="00DB5A0D"/>
    <w:rsid w:val="00DB7C91"/>
    <w:rsid w:val="00DB7D65"/>
    <w:rsid w:val="00DC5540"/>
    <w:rsid w:val="00DD2573"/>
    <w:rsid w:val="00DD52D1"/>
    <w:rsid w:val="00DD5EC9"/>
    <w:rsid w:val="00DE3E96"/>
    <w:rsid w:val="00DE4EF9"/>
    <w:rsid w:val="00DF56C4"/>
    <w:rsid w:val="00DF6051"/>
    <w:rsid w:val="00E0575C"/>
    <w:rsid w:val="00E0718F"/>
    <w:rsid w:val="00E078C2"/>
    <w:rsid w:val="00E11006"/>
    <w:rsid w:val="00E11671"/>
    <w:rsid w:val="00E127DD"/>
    <w:rsid w:val="00E13093"/>
    <w:rsid w:val="00E1392E"/>
    <w:rsid w:val="00E139F7"/>
    <w:rsid w:val="00E13C8C"/>
    <w:rsid w:val="00E17E9B"/>
    <w:rsid w:val="00E21C81"/>
    <w:rsid w:val="00E24BF0"/>
    <w:rsid w:val="00E25443"/>
    <w:rsid w:val="00E31D2A"/>
    <w:rsid w:val="00E324A9"/>
    <w:rsid w:val="00E3351D"/>
    <w:rsid w:val="00E33D86"/>
    <w:rsid w:val="00E34601"/>
    <w:rsid w:val="00E3562F"/>
    <w:rsid w:val="00E37EFE"/>
    <w:rsid w:val="00E40112"/>
    <w:rsid w:val="00E428C1"/>
    <w:rsid w:val="00E42B73"/>
    <w:rsid w:val="00E47A7C"/>
    <w:rsid w:val="00E56BEE"/>
    <w:rsid w:val="00E609BD"/>
    <w:rsid w:val="00E662AA"/>
    <w:rsid w:val="00E706A2"/>
    <w:rsid w:val="00E70D03"/>
    <w:rsid w:val="00E72DC6"/>
    <w:rsid w:val="00E73ECF"/>
    <w:rsid w:val="00E755F0"/>
    <w:rsid w:val="00E76480"/>
    <w:rsid w:val="00E778B4"/>
    <w:rsid w:val="00E87332"/>
    <w:rsid w:val="00E91DD6"/>
    <w:rsid w:val="00E91FA6"/>
    <w:rsid w:val="00E92D95"/>
    <w:rsid w:val="00E948AB"/>
    <w:rsid w:val="00E95024"/>
    <w:rsid w:val="00E95265"/>
    <w:rsid w:val="00E96438"/>
    <w:rsid w:val="00EA0CDC"/>
    <w:rsid w:val="00EA3142"/>
    <w:rsid w:val="00EA4802"/>
    <w:rsid w:val="00EA5F13"/>
    <w:rsid w:val="00EB1994"/>
    <w:rsid w:val="00EB389E"/>
    <w:rsid w:val="00EB4CB2"/>
    <w:rsid w:val="00EB73C5"/>
    <w:rsid w:val="00EC1B9E"/>
    <w:rsid w:val="00EC6DAA"/>
    <w:rsid w:val="00EC7F15"/>
    <w:rsid w:val="00EE135E"/>
    <w:rsid w:val="00EE2212"/>
    <w:rsid w:val="00EE590A"/>
    <w:rsid w:val="00EF052E"/>
    <w:rsid w:val="00EF43CD"/>
    <w:rsid w:val="00EF52CB"/>
    <w:rsid w:val="00EF67B2"/>
    <w:rsid w:val="00EF7EDD"/>
    <w:rsid w:val="00F039F3"/>
    <w:rsid w:val="00F05AD7"/>
    <w:rsid w:val="00F05FFB"/>
    <w:rsid w:val="00F111D1"/>
    <w:rsid w:val="00F11548"/>
    <w:rsid w:val="00F175A9"/>
    <w:rsid w:val="00F17FA2"/>
    <w:rsid w:val="00F20C66"/>
    <w:rsid w:val="00F21D8A"/>
    <w:rsid w:val="00F2572F"/>
    <w:rsid w:val="00F263FB"/>
    <w:rsid w:val="00F3079C"/>
    <w:rsid w:val="00F313D7"/>
    <w:rsid w:val="00F31480"/>
    <w:rsid w:val="00F3363B"/>
    <w:rsid w:val="00F33BC8"/>
    <w:rsid w:val="00F350C3"/>
    <w:rsid w:val="00F359D9"/>
    <w:rsid w:val="00F36541"/>
    <w:rsid w:val="00F41D1A"/>
    <w:rsid w:val="00F43040"/>
    <w:rsid w:val="00F50F53"/>
    <w:rsid w:val="00F55481"/>
    <w:rsid w:val="00F5783D"/>
    <w:rsid w:val="00F60733"/>
    <w:rsid w:val="00F608D2"/>
    <w:rsid w:val="00F621B7"/>
    <w:rsid w:val="00F723C8"/>
    <w:rsid w:val="00F76B75"/>
    <w:rsid w:val="00F828D0"/>
    <w:rsid w:val="00F838F9"/>
    <w:rsid w:val="00F84249"/>
    <w:rsid w:val="00F84A45"/>
    <w:rsid w:val="00F85E9B"/>
    <w:rsid w:val="00F879C3"/>
    <w:rsid w:val="00F91D61"/>
    <w:rsid w:val="00F92B04"/>
    <w:rsid w:val="00F92BA2"/>
    <w:rsid w:val="00F95796"/>
    <w:rsid w:val="00FA5E71"/>
    <w:rsid w:val="00FB16C4"/>
    <w:rsid w:val="00FB2A91"/>
    <w:rsid w:val="00FB2B53"/>
    <w:rsid w:val="00FB2EBC"/>
    <w:rsid w:val="00FB5A14"/>
    <w:rsid w:val="00FB617E"/>
    <w:rsid w:val="00FB6298"/>
    <w:rsid w:val="00FB63C6"/>
    <w:rsid w:val="00FB6F29"/>
    <w:rsid w:val="00FC03D4"/>
    <w:rsid w:val="00FC0AB2"/>
    <w:rsid w:val="00FC4A8B"/>
    <w:rsid w:val="00FC599A"/>
    <w:rsid w:val="00FC6000"/>
    <w:rsid w:val="00FD09EA"/>
    <w:rsid w:val="00FD0A11"/>
    <w:rsid w:val="00FD0C1A"/>
    <w:rsid w:val="00FD3C5E"/>
    <w:rsid w:val="00FD5471"/>
    <w:rsid w:val="00FE5231"/>
    <w:rsid w:val="00FE6A67"/>
    <w:rsid w:val="00FF0016"/>
    <w:rsid w:val="00FF19E4"/>
    <w:rsid w:val="00FF1B19"/>
    <w:rsid w:val="00FF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9627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DD"/>
    <w:pPr>
      <w:spacing w:after="200" w:line="276" w:lineRule="auto"/>
    </w:pPr>
    <w:rPr>
      <w:sz w:val="22"/>
      <w:szCs w:val="22"/>
    </w:rPr>
  </w:style>
  <w:style w:type="paragraph" w:styleId="Heading1">
    <w:name w:val="heading 1"/>
    <w:basedOn w:val="Normal"/>
    <w:next w:val="Normal"/>
    <w:link w:val="Heading1Char"/>
    <w:uiPriority w:val="9"/>
    <w:qFormat/>
    <w:rsid w:val="00A426B4"/>
    <w:pPr>
      <w:keepNext/>
      <w:keepLines/>
      <w:jc w:val="center"/>
      <w:outlineLvl w:val="0"/>
    </w:pPr>
    <w:rPr>
      <w:rFonts w:ascii="Palatino Linotype" w:eastAsiaTheme="majorEastAsia" w:hAnsi="Palatino Linotype" w:cstheme="majorBidi"/>
      <w:b/>
      <w:sz w:val="20"/>
      <w:szCs w:val="20"/>
    </w:rPr>
  </w:style>
  <w:style w:type="paragraph" w:styleId="Heading2">
    <w:name w:val="heading 2"/>
    <w:basedOn w:val="Heading3"/>
    <w:next w:val="Normal"/>
    <w:link w:val="Heading2Char"/>
    <w:uiPriority w:val="9"/>
    <w:unhideWhenUsed/>
    <w:qFormat/>
    <w:rsid w:val="00A426B4"/>
    <w:pPr>
      <w:jc w:val="center"/>
      <w:outlineLvl w:val="1"/>
    </w:pPr>
    <w:rPr>
      <w:b/>
    </w:rPr>
  </w:style>
  <w:style w:type="paragraph" w:styleId="Heading3">
    <w:name w:val="heading 3"/>
    <w:basedOn w:val="Heading4"/>
    <w:next w:val="Normal"/>
    <w:link w:val="Heading3Char"/>
    <w:uiPriority w:val="9"/>
    <w:unhideWhenUsed/>
    <w:qFormat/>
    <w:rsid w:val="00A426B4"/>
    <w:pPr>
      <w:outlineLvl w:val="2"/>
    </w:pPr>
    <w:rPr>
      <w:b w:val="0"/>
      <w:i/>
    </w:rPr>
  </w:style>
  <w:style w:type="paragraph" w:styleId="Heading4">
    <w:name w:val="heading 4"/>
    <w:basedOn w:val="Heading6"/>
    <w:next w:val="Normal"/>
    <w:link w:val="Heading4Char"/>
    <w:uiPriority w:val="9"/>
    <w:unhideWhenUsed/>
    <w:qFormat/>
    <w:rsid w:val="00A426B4"/>
    <w:pPr>
      <w:spacing w:before="0" w:after="200"/>
      <w:outlineLvl w:val="3"/>
    </w:pPr>
    <w:rPr>
      <w:rFonts w:ascii="Palatino Linotype" w:hAnsi="Palatino Linotype"/>
      <w:b/>
      <w:color w:val="auto"/>
      <w:sz w:val="20"/>
      <w:szCs w:val="20"/>
    </w:rPr>
  </w:style>
  <w:style w:type="paragraph" w:styleId="Heading5">
    <w:name w:val="heading 5"/>
    <w:basedOn w:val="Heading7"/>
    <w:next w:val="Normal"/>
    <w:link w:val="Heading5Char"/>
    <w:uiPriority w:val="9"/>
    <w:unhideWhenUsed/>
    <w:qFormat/>
    <w:rsid w:val="00A426B4"/>
    <w:pPr>
      <w:spacing w:after="200" w:line="276" w:lineRule="auto"/>
      <w:jc w:val="left"/>
      <w:outlineLvl w:val="4"/>
    </w:pPr>
    <w:rPr>
      <w:b w:val="0"/>
      <w:sz w:val="20"/>
      <w:szCs w:val="20"/>
      <w:u w:val="single"/>
    </w:rPr>
  </w:style>
  <w:style w:type="paragraph" w:styleId="Heading6">
    <w:name w:val="heading 6"/>
    <w:basedOn w:val="Normal"/>
    <w:next w:val="Normal"/>
    <w:link w:val="Heading6Char"/>
    <w:uiPriority w:val="9"/>
    <w:unhideWhenUsed/>
    <w:qFormat/>
    <w:rsid w:val="00227D8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B2450"/>
    <w:pPr>
      <w:keepNext/>
      <w:autoSpaceDE w:val="0"/>
      <w:autoSpaceDN w:val="0"/>
      <w:spacing w:after="0" w:line="240" w:lineRule="auto"/>
      <w:jc w:val="center"/>
      <w:outlineLvl w:val="6"/>
    </w:pPr>
    <w:rPr>
      <w:rFonts w:ascii="Palatino Linotype" w:eastAsia="Times New Roman" w:hAnsi="Palatino Linotype"/>
      <w:b/>
      <w:bCs/>
      <w:sz w:val="28"/>
      <w:szCs w:val="36"/>
    </w:rPr>
  </w:style>
  <w:style w:type="paragraph" w:styleId="Heading8">
    <w:name w:val="heading 8"/>
    <w:basedOn w:val="Normal"/>
    <w:next w:val="Normal"/>
    <w:link w:val="Heading8Char"/>
    <w:qFormat/>
    <w:rsid w:val="00DB2450"/>
    <w:pPr>
      <w:keepNext/>
      <w:autoSpaceDE w:val="0"/>
      <w:autoSpaceDN w:val="0"/>
      <w:spacing w:after="0" w:line="240" w:lineRule="auto"/>
      <w:jc w:val="center"/>
      <w:outlineLvl w:val="7"/>
    </w:pPr>
    <w:rPr>
      <w:rFonts w:ascii="Palatino Linotype" w:eastAsia="Times New Roman"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4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14AB"/>
    <w:rPr>
      <w:rFonts w:ascii="Tahoma" w:hAnsi="Tahoma" w:cs="Tahoma"/>
      <w:sz w:val="16"/>
      <w:szCs w:val="16"/>
    </w:rPr>
  </w:style>
  <w:style w:type="paragraph" w:styleId="Header">
    <w:name w:val="header"/>
    <w:basedOn w:val="Normal"/>
    <w:link w:val="HeaderChar"/>
    <w:uiPriority w:val="99"/>
    <w:unhideWhenUsed/>
    <w:rsid w:val="00DE4EF9"/>
    <w:pPr>
      <w:tabs>
        <w:tab w:val="center" w:pos="4680"/>
        <w:tab w:val="right" w:pos="9360"/>
      </w:tabs>
    </w:pPr>
  </w:style>
  <w:style w:type="character" w:customStyle="1" w:styleId="HeaderChar">
    <w:name w:val="Header Char"/>
    <w:link w:val="Header"/>
    <w:uiPriority w:val="99"/>
    <w:rsid w:val="00DE4EF9"/>
    <w:rPr>
      <w:sz w:val="22"/>
      <w:szCs w:val="22"/>
    </w:rPr>
  </w:style>
  <w:style w:type="paragraph" w:styleId="Footer">
    <w:name w:val="footer"/>
    <w:basedOn w:val="Normal"/>
    <w:link w:val="FooterChar"/>
    <w:unhideWhenUsed/>
    <w:rsid w:val="00DE4EF9"/>
    <w:pPr>
      <w:tabs>
        <w:tab w:val="center" w:pos="4680"/>
        <w:tab w:val="right" w:pos="9360"/>
      </w:tabs>
    </w:pPr>
  </w:style>
  <w:style w:type="character" w:customStyle="1" w:styleId="FooterChar">
    <w:name w:val="Footer Char"/>
    <w:link w:val="Footer"/>
    <w:uiPriority w:val="99"/>
    <w:rsid w:val="00DE4EF9"/>
    <w:rPr>
      <w:sz w:val="22"/>
      <w:szCs w:val="22"/>
    </w:rPr>
  </w:style>
  <w:style w:type="paragraph" w:styleId="Quote">
    <w:name w:val="Quote"/>
    <w:basedOn w:val="Normal"/>
    <w:next w:val="Normal"/>
    <w:link w:val="QuoteChar"/>
    <w:uiPriority w:val="29"/>
    <w:qFormat/>
    <w:rsid w:val="00EF43CD"/>
    <w:rPr>
      <w:i/>
      <w:iCs/>
      <w:color w:val="000000"/>
    </w:rPr>
  </w:style>
  <w:style w:type="character" w:customStyle="1" w:styleId="QuoteChar">
    <w:name w:val="Quote Char"/>
    <w:link w:val="Quote"/>
    <w:uiPriority w:val="29"/>
    <w:rsid w:val="00EF43CD"/>
    <w:rPr>
      <w:i/>
      <w:iCs/>
      <w:color w:val="000000"/>
      <w:sz w:val="22"/>
      <w:szCs w:val="22"/>
    </w:rPr>
  </w:style>
  <w:style w:type="character" w:styleId="CommentReference">
    <w:name w:val="annotation reference"/>
    <w:uiPriority w:val="99"/>
    <w:semiHidden/>
    <w:unhideWhenUsed/>
    <w:rsid w:val="00414F06"/>
    <w:rPr>
      <w:sz w:val="16"/>
      <w:szCs w:val="16"/>
    </w:rPr>
  </w:style>
  <w:style w:type="paragraph" w:styleId="CommentText">
    <w:name w:val="annotation text"/>
    <w:basedOn w:val="Normal"/>
    <w:link w:val="CommentTextChar"/>
    <w:uiPriority w:val="99"/>
    <w:semiHidden/>
    <w:unhideWhenUsed/>
    <w:rsid w:val="00414F06"/>
    <w:rPr>
      <w:sz w:val="20"/>
      <w:szCs w:val="20"/>
    </w:rPr>
  </w:style>
  <w:style w:type="character" w:customStyle="1" w:styleId="CommentTextChar">
    <w:name w:val="Comment Text Char"/>
    <w:link w:val="CommentText"/>
    <w:uiPriority w:val="99"/>
    <w:semiHidden/>
    <w:rsid w:val="00414F06"/>
    <w:rPr>
      <w:lang w:eastAsia="en-US"/>
    </w:rPr>
  </w:style>
  <w:style w:type="paragraph" w:styleId="CommentSubject">
    <w:name w:val="annotation subject"/>
    <w:basedOn w:val="CommentText"/>
    <w:next w:val="CommentText"/>
    <w:link w:val="CommentSubjectChar"/>
    <w:uiPriority w:val="99"/>
    <w:semiHidden/>
    <w:unhideWhenUsed/>
    <w:rsid w:val="00414F06"/>
    <w:rPr>
      <w:b/>
      <w:bCs/>
    </w:rPr>
  </w:style>
  <w:style w:type="character" w:customStyle="1" w:styleId="CommentSubjectChar">
    <w:name w:val="Comment Subject Char"/>
    <w:link w:val="CommentSubject"/>
    <w:uiPriority w:val="99"/>
    <w:semiHidden/>
    <w:rsid w:val="00414F06"/>
    <w:rPr>
      <w:b/>
      <w:bCs/>
      <w:lang w:eastAsia="en-US"/>
    </w:rPr>
  </w:style>
  <w:style w:type="character" w:customStyle="1" w:styleId="Heading7Char">
    <w:name w:val="Heading 7 Char"/>
    <w:link w:val="Heading7"/>
    <w:rsid w:val="00DB2450"/>
    <w:rPr>
      <w:rFonts w:ascii="Palatino Linotype" w:eastAsia="Times New Roman" w:hAnsi="Palatino Linotype"/>
      <w:b/>
      <w:bCs/>
      <w:sz w:val="28"/>
      <w:szCs w:val="36"/>
    </w:rPr>
  </w:style>
  <w:style w:type="character" w:customStyle="1" w:styleId="Heading8Char">
    <w:name w:val="Heading 8 Char"/>
    <w:link w:val="Heading8"/>
    <w:rsid w:val="00DB2450"/>
    <w:rPr>
      <w:rFonts w:ascii="Palatino Linotype" w:eastAsia="Times New Roman" w:hAnsi="Palatino Linotype"/>
      <w:b/>
      <w:bCs/>
      <w:sz w:val="18"/>
      <w:szCs w:val="28"/>
    </w:rPr>
  </w:style>
  <w:style w:type="paragraph" w:styleId="Title">
    <w:name w:val="Title"/>
    <w:basedOn w:val="Normal"/>
    <w:link w:val="TitleChar"/>
    <w:qFormat/>
    <w:rsid w:val="00DB2450"/>
    <w:pPr>
      <w:autoSpaceDE w:val="0"/>
      <w:autoSpaceDN w:val="0"/>
      <w:spacing w:after="0" w:line="240" w:lineRule="auto"/>
      <w:jc w:val="center"/>
    </w:pPr>
    <w:rPr>
      <w:rFonts w:ascii="Bookman Old Style" w:eastAsia="Times New Roman" w:hAnsi="Bookman Old Style"/>
      <w:b/>
      <w:bCs/>
      <w:sz w:val="24"/>
      <w:szCs w:val="24"/>
    </w:rPr>
  </w:style>
  <w:style w:type="character" w:customStyle="1" w:styleId="TitleChar">
    <w:name w:val="Title Char"/>
    <w:link w:val="Title"/>
    <w:rsid w:val="00DB2450"/>
    <w:rPr>
      <w:rFonts w:ascii="Bookman Old Style" w:eastAsia="Times New Roman" w:hAnsi="Bookman Old Style"/>
      <w:b/>
      <w:bCs/>
      <w:sz w:val="24"/>
      <w:szCs w:val="24"/>
    </w:rPr>
  </w:style>
  <w:style w:type="character" w:styleId="FootnoteReference">
    <w:name w:val="footnote reference"/>
    <w:uiPriority w:val="99"/>
    <w:rsid w:val="00DB2450"/>
    <w:rPr>
      <w:position w:val="6"/>
      <w:sz w:val="16"/>
      <w:szCs w:val="16"/>
    </w:rPr>
  </w:style>
  <w:style w:type="paragraph" w:styleId="FootnoteText">
    <w:name w:val="footnote text"/>
    <w:aliases w:val="FOOTNOTES (NEW)"/>
    <w:basedOn w:val="EndnoteText"/>
    <w:next w:val="EndnoteText"/>
    <w:link w:val="FootnoteTextChar"/>
    <w:rsid w:val="0060796D"/>
    <w:pPr>
      <w:overflowPunct w:val="0"/>
      <w:autoSpaceDE w:val="0"/>
      <w:autoSpaceDN w:val="0"/>
      <w:adjustRightInd w:val="0"/>
      <w:textAlignment w:val="baseline"/>
    </w:pPr>
    <w:rPr>
      <w:rFonts w:ascii="Times" w:eastAsia="Times New Roman" w:hAnsi="Times" w:cs="Times"/>
    </w:rPr>
  </w:style>
  <w:style w:type="character" w:customStyle="1" w:styleId="FootnoteTextChar">
    <w:name w:val="Footnote Text Char"/>
    <w:aliases w:val="FOOTNOTES (NEW) Char"/>
    <w:link w:val="FootnoteText"/>
    <w:rsid w:val="0060796D"/>
    <w:rPr>
      <w:rFonts w:ascii="Times" w:eastAsia="Times New Roman" w:hAnsi="Times" w:cs="Times"/>
    </w:rPr>
  </w:style>
  <w:style w:type="character" w:customStyle="1" w:styleId="Heading1Char">
    <w:name w:val="Heading 1 Char"/>
    <w:basedOn w:val="DefaultParagraphFont"/>
    <w:link w:val="Heading1"/>
    <w:uiPriority w:val="9"/>
    <w:rsid w:val="00A426B4"/>
    <w:rPr>
      <w:rFonts w:ascii="Palatino Linotype" w:eastAsiaTheme="majorEastAsia" w:hAnsi="Palatino Linotype" w:cstheme="majorBidi"/>
      <w:b/>
    </w:rPr>
  </w:style>
  <w:style w:type="character" w:customStyle="1" w:styleId="Heading2Char">
    <w:name w:val="Heading 2 Char"/>
    <w:basedOn w:val="DefaultParagraphFont"/>
    <w:link w:val="Heading2"/>
    <w:uiPriority w:val="9"/>
    <w:rsid w:val="00A426B4"/>
    <w:rPr>
      <w:rFonts w:ascii="Palatino Linotype" w:eastAsiaTheme="majorEastAsia" w:hAnsi="Palatino Linotype" w:cstheme="majorBidi"/>
      <w:b/>
    </w:rPr>
  </w:style>
  <w:style w:type="character" w:customStyle="1" w:styleId="Heading3Char">
    <w:name w:val="Heading 3 Char"/>
    <w:basedOn w:val="DefaultParagraphFont"/>
    <w:link w:val="Heading3"/>
    <w:uiPriority w:val="9"/>
    <w:rsid w:val="00A426B4"/>
    <w:rPr>
      <w:rFonts w:ascii="Palatino Linotype" w:eastAsiaTheme="majorEastAsia" w:hAnsi="Palatino Linotype" w:cstheme="majorBidi"/>
      <w:b/>
      <w:iCs/>
    </w:rPr>
  </w:style>
  <w:style w:type="character" w:customStyle="1" w:styleId="Heading4Char">
    <w:name w:val="Heading 4 Char"/>
    <w:basedOn w:val="DefaultParagraphFont"/>
    <w:link w:val="Heading4"/>
    <w:uiPriority w:val="9"/>
    <w:rsid w:val="00A426B4"/>
    <w:rPr>
      <w:rFonts w:ascii="Palatino Linotype" w:eastAsiaTheme="majorEastAsia" w:hAnsi="Palatino Linotype" w:cstheme="majorBidi"/>
      <w:b/>
    </w:rPr>
  </w:style>
  <w:style w:type="character" w:customStyle="1" w:styleId="Heading5Char">
    <w:name w:val="Heading 5 Char"/>
    <w:basedOn w:val="DefaultParagraphFont"/>
    <w:link w:val="Heading5"/>
    <w:uiPriority w:val="9"/>
    <w:rsid w:val="00A426B4"/>
    <w:rPr>
      <w:rFonts w:ascii="Palatino Linotype" w:eastAsia="Times New Roman" w:hAnsi="Palatino Linotype"/>
      <w:bCs/>
      <w:u w:val="single"/>
    </w:rPr>
  </w:style>
  <w:style w:type="character" w:customStyle="1" w:styleId="Heading6Char">
    <w:name w:val="Heading 6 Char"/>
    <w:basedOn w:val="DefaultParagraphFont"/>
    <w:link w:val="Heading6"/>
    <w:uiPriority w:val="9"/>
    <w:rsid w:val="00227D8A"/>
    <w:rPr>
      <w:rFonts w:asciiTheme="majorHAnsi" w:eastAsiaTheme="majorEastAsia" w:hAnsiTheme="majorHAnsi" w:cstheme="majorBidi"/>
      <w:color w:val="1F4D78" w:themeColor="accent1" w:themeShade="7F"/>
      <w:sz w:val="22"/>
      <w:szCs w:val="22"/>
    </w:rPr>
  </w:style>
  <w:style w:type="character" w:styleId="Hyperlink">
    <w:name w:val="Hyperlink"/>
    <w:basedOn w:val="DefaultParagraphFont"/>
    <w:uiPriority w:val="99"/>
    <w:unhideWhenUsed/>
    <w:rsid w:val="009B2C89"/>
    <w:rPr>
      <w:color w:val="0563C1" w:themeColor="hyperlink"/>
      <w:u w:val="single"/>
    </w:rPr>
  </w:style>
  <w:style w:type="paragraph" w:styleId="EndnoteText">
    <w:name w:val="endnote text"/>
    <w:basedOn w:val="Normal"/>
    <w:link w:val="EndnoteTextChar"/>
    <w:uiPriority w:val="99"/>
    <w:semiHidden/>
    <w:unhideWhenUsed/>
    <w:rsid w:val="00CF38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8E9"/>
  </w:style>
  <w:style w:type="character" w:styleId="EndnoteReference">
    <w:name w:val="endnote reference"/>
    <w:basedOn w:val="DefaultParagraphFont"/>
    <w:uiPriority w:val="99"/>
    <w:semiHidden/>
    <w:unhideWhenUsed/>
    <w:rsid w:val="00CF38E9"/>
    <w:rPr>
      <w:vertAlign w:val="superscript"/>
    </w:rPr>
  </w:style>
  <w:style w:type="character" w:styleId="FollowedHyperlink">
    <w:name w:val="FollowedHyperlink"/>
    <w:basedOn w:val="DefaultParagraphFont"/>
    <w:uiPriority w:val="99"/>
    <w:semiHidden/>
    <w:unhideWhenUsed/>
    <w:rsid w:val="00F8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695">
      <w:bodyDiv w:val="1"/>
      <w:marLeft w:val="0"/>
      <w:marRight w:val="0"/>
      <w:marTop w:val="0"/>
      <w:marBottom w:val="0"/>
      <w:divBdr>
        <w:top w:val="none" w:sz="0" w:space="0" w:color="auto"/>
        <w:left w:val="none" w:sz="0" w:space="0" w:color="auto"/>
        <w:bottom w:val="none" w:sz="0" w:space="0" w:color="auto"/>
        <w:right w:val="none" w:sz="0" w:space="0" w:color="auto"/>
      </w:divBdr>
    </w:div>
    <w:div w:id="212347411">
      <w:bodyDiv w:val="1"/>
      <w:marLeft w:val="0"/>
      <w:marRight w:val="0"/>
      <w:marTop w:val="0"/>
      <w:marBottom w:val="0"/>
      <w:divBdr>
        <w:top w:val="none" w:sz="0" w:space="0" w:color="auto"/>
        <w:left w:val="none" w:sz="0" w:space="0" w:color="auto"/>
        <w:bottom w:val="none" w:sz="0" w:space="0" w:color="auto"/>
        <w:right w:val="none" w:sz="0" w:space="0" w:color="auto"/>
      </w:divBdr>
    </w:div>
    <w:div w:id="239097256">
      <w:bodyDiv w:val="1"/>
      <w:marLeft w:val="0"/>
      <w:marRight w:val="0"/>
      <w:marTop w:val="0"/>
      <w:marBottom w:val="0"/>
      <w:divBdr>
        <w:top w:val="none" w:sz="0" w:space="0" w:color="auto"/>
        <w:left w:val="none" w:sz="0" w:space="0" w:color="auto"/>
        <w:bottom w:val="none" w:sz="0" w:space="0" w:color="auto"/>
        <w:right w:val="none" w:sz="0" w:space="0" w:color="auto"/>
      </w:divBdr>
    </w:div>
    <w:div w:id="410347810">
      <w:bodyDiv w:val="1"/>
      <w:marLeft w:val="0"/>
      <w:marRight w:val="0"/>
      <w:marTop w:val="0"/>
      <w:marBottom w:val="0"/>
      <w:divBdr>
        <w:top w:val="none" w:sz="0" w:space="0" w:color="auto"/>
        <w:left w:val="none" w:sz="0" w:space="0" w:color="auto"/>
        <w:bottom w:val="none" w:sz="0" w:space="0" w:color="auto"/>
        <w:right w:val="none" w:sz="0" w:space="0" w:color="auto"/>
      </w:divBdr>
    </w:div>
    <w:div w:id="501897226">
      <w:bodyDiv w:val="1"/>
      <w:marLeft w:val="0"/>
      <w:marRight w:val="0"/>
      <w:marTop w:val="0"/>
      <w:marBottom w:val="0"/>
      <w:divBdr>
        <w:top w:val="none" w:sz="0" w:space="0" w:color="auto"/>
        <w:left w:val="none" w:sz="0" w:space="0" w:color="auto"/>
        <w:bottom w:val="none" w:sz="0" w:space="0" w:color="auto"/>
        <w:right w:val="none" w:sz="0" w:space="0" w:color="auto"/>
      </w:divBdr>
    </w:div>
    <w:div w:id="575827571">
      <w:bodyDiv w:val="1"/>
      <w:marLeft w:val="0"/>
      <w:marRight w:val="0"/>
      <w:marTop w:val="0"/>
      <w:marBottom w:val="0"/>
      <w:divBdr>
        <w:top w:val="none" w:sz="0" w:space="0" w:color="auto"/>
        <w:left w:val="none" w:sz="0" w:space="0" w:color="auto"/>
        <w:bottom w:val="none" w:sz="0" w:space="0" w:color="auto"/>
        <w:right w:val="none" w:sz="0" w:space="0" w:color="auto"/>
      </w:divBdr>
    </w:div>
    <w:div w:id="693774072">
      <w:bodyDiv w:val="1"/>
      <w:marLeft w:val="0"/>
      <w:marRight w:val="0"/>
      <w:marTop w:val="0"/>
      <w:marBottom w:val="0"/>
      <w:divBdr>
        <w:top w:val="none" w:sz="0" w:space="0" w:color="auto"/>
        <w:left w:val="none" w:sz="0" w:space="0" w:color="auto"/>
        <w:bottom w:val="none" w:sz="0" w:space="0" w:color="auto"/>
        <w:right w:val="none" w:sz="0" w:space="0" w:color="auto"/>
      </w:divBdr>
    </w:div>
    <w:div w:id="729153537">
      <w:bodyDiv w:val="1"/>
      <w:marLeft w:val="0"/>
      <w:marRight w:val="0"/>
      <w:marTop w:val="0"/>
      <w:marBottom w:val="0"/>
      <w:divBdr>
        <w:top w:val="none" w:sz="0" w:space="0" w:color="auto"/>
        <w:left w:val="none" w:sz="0" w:space="0" w:color="auto"/>
        <w:bottom w:val="none" w:sz="0" w:space="0" w:color="auto"/>
        <w:right w:val="none" w:sz="0" w:space="0" w:color="auto"/>
      </w:divBdr>
    </w:div>
    <w:div w:id="748967346">
      <w:bodyDiv w:val="1"/>
      <w:marLeft w:val="0"/>
      <w:marRight w:val="0"/>
      <w:marTop w:val="0"/>
      <w:marBottom w:val="0"/>
      <w:divBdr>
        <w:top w:val="none" w:sz="0" w:space="0" w:color="auto"/>
        <w:left w:val="none" w:sz="0" w:space="0" w:color="auto"/>
        <w:bottom w:val="none" w:sz="0" w:space="0" w:color="auto"/>
        <w:right w:val="none" w:sz="0" w:space="0" w:color="auto"/>
      </w:divBdr>
    </w:div>
    <w:div w:id="869337280">
      <w:bodyDiv w:val="1"/>
      <w:marLeft w:val="0"/>
      <w:marRight w:val="0"/>
      <w:marTop w:val="0"/>
      <w:marBottom w:val="0"/>
      <w:divBdr>
        <w:top w:val="none" w:sz="0" w:space="0" w:color="auto"/>
        <w:left w:val="none" w:sz="0" w:space="0" w:color="auto"/>
        <w:bottom w:val="none" w:sz="0" w:space="0" w:color="auto"/>
        <w:right w:val="none" w:sz="0" w:space="0" w:color="auto"/>
      </w:divBdr>
    </w:div>
    <w:div w:id="873081424">
      <w:bodyDiv w:val="1"/>
      <w:marLeft w:val="0"/>
      <w:marRight w:val="0"/>
      <w:marTop w:val="0"/>
      <w:marBottom w:val="0"/>
      <w:divBdr>
        <w:top w:val="none" w:sz="0" w:space="0" w:color="auto"/>
        <w:left w:val="none" w:sz="0" w:space="0" w:color="auto"/>
        <w:bottom w:val="none" w:sz="0" w:space="0" w:color="auto"/>
        <w:right w:val="none" w:sz="0" w:space="0" w:color="auto"/>
      </w:divBdr>
    </w:div>
    <w:div w:id="1013461136">
      <w:bodyDiv w:val="1"/>
      <w:marLeft w:val="0"/>
      <w:marRight w:val="0"/>
      <w:marTop w:val="0"/>
      <w:marBottom w:val="0"/>
      <w:divBdr>
        <w:top w:val="none" w:sz="0" w:space="0" w:color="auto"/>
        <w:left w:val="none" w:sz="0" w:space="0" w:color="auto"/>
        <w:bottom w:val="none" w:sz="0" w:space="0" w:color="auto"/>
        <w:right w:val="none" w:sz="0" w:space="0" w:color="auto"/>
      </w:divBdr>
    </w:div>
    <w:div w:id="1078400740">
      <w:bodyDiv w:val="1"/>
      <w:marLeft w:val="0"/>
      <w:marRight w:val="0"/>
      <w:marTop w:val="0"/>
      <w:marBottom w:val="0"/>
      <w:divBdr>
        <w:top w:val="none" w:sz="0" w:space="0" w:color="auto"/>
        <w:left w:val="none" w:sz="0" w:space="0" w:color="auto"/>
        <w:bottom w:val="none" w:sz="0" w:space="0" w:color="auto"/>
        <w:right w:val="none" w:sz="0" w:space="0" w:color="auto"/>
      </w:divBdr>
    </w:div>
    <w:div w:id="1319191696">
      <w:bodyDiv w:val="1"/>
      <w:marLeft w:val="0"/>
      <w:marRight w:val="0"/>
      <w:marTop w:val="0"/>
      <w:marBottom w:val="0"/>
      <w:divBdr>
        <w:top w:val="none" w:sz="0" w:space="0" w:color="auto"/>
        <w:left w:val="none" w:sz="0" w:space="0" w:color="auto"/>
        <w:bottom w:val="none" w:sz="0" w:space="0" w:color="auto"/>
        <w:right w:val="none" w:sz="0" w:space="0" w:color="auto"/>
      </w:divBdr>
    </w:div>
    <w:div w:id="1365399851">
      <w:bodyDiv w:val="1"/>
      <w:marLeft w:val="0"/>
      <w:marRight w:val="0"/>
      <w:marTop w:val="0"/>
      <w:marBottom w:val="0"/>
      <w:divBdr>
        <w:top w:val="none" w:sz="0" w:space="0" w:color="auto"/>
        <w:left w:val="none" w:sz="0" w:space="0" w:color="auto"/>
        <w:bottom w:val="none" w:sz="0" w:space="0" w:color="auto"/>
        <w:right w:val="none" w:sz="0" w:space="0" w:color="auto"/>
      </w:divBdr>
    </w:div>
    <w:div w:id="1375080812">
      <w:bodyDiv w:val="1"/>
      <w:marLeft w:val="0"/>
      <w:marRight w:val="0"/>
      <w:marTop w:val="0"/>
      <w:marBottom w:val="0"/>
      <w:divBdr>
        <w:top w:val="none" w:sz="0" w:space="0" w:color="auto"/>
        <w:left w:val="none" w:sz="0" w:space="0" w:color="auto"/>
        <w:bottom w:val="none" w:sz="0" w:space="0" w:color="auto"/>
        <w:right w:val="none" w:sz="0" w:space="0" w:color="auto"/>
      </w:divBdr>
    </w:div>
    <w:div w:id="1382552860">
      <w:bodyDiv w:val="1"/>
      <w:marLeft w:val="0"/>
      <w:marRight w:val="0"/>
      <w:marTop w:val="0"/>
      <w:marBottom w:val="0"/>
      <w:divBdr>
        <w:top w:val="none" w:sz="0" w:space="0" w:color="auto"/>
        <w:left w:val="none" w:sz="0" w:space="0" w:color="auto"/>
        <w:bottom w:val="none" w:sz="0" w:space="0" w:color="auto"/>
        <w:right w:val="none" w:sz="0" w:space="0" w:color="auto"/>
      </w:divBdr>
    </w:div>
    <w:div w:id="1474831529">
      <w:bodyDiv w:val="1"/>
      <w:marLeft w:val="0"/>
      <w:marRight w:val="0"/>
      <w:marTop w:val="0"/>
      <w:marBottom w:val="0"/>
      <w:divBdr>
        <w:top w:val="none" w:sz="0" w:space="0" w:color="auto"/>
        <w:left w:val="none" w:sz="0" w:space="0" w:color="auto"/>
        <w:bottom w:val="none" w:sz="0" w:space="0" w:color="auto"/>
        <w:right w:val="none" w:sz="0" w:space="0" w:color="auto"/>
      </w:divBdr>
    </w:div>
    <w:div w:id="1506359601">
      <w:bodyDiv w:val="1"/>
      <w:marLeft w:val="0"/>
      <w:marRight w:val="0"/>
      <w:marTop w:val="0"/>
      <w:marBottom w:val="0"/>
      <w:divBdr>
        <w:top w:val="none" w:sz="0" w:space="0" w:color="auto"/>
        <w:left w:val="none" w:sz="0" w:space="0" w:color="auto"/>
        <w:bottom w:val="none" w:sz="0" w:space="0" w:color="auto"/>
        <w:right w:val="none" w:sz="0" w:space="0" w:color="auto"/>
      </w:divBdr>
    </w:div>
    <w:div w:id="1540123427">
      <w:bodyDiv w:val="1"/>
      <w:marLeft w:val="0"/>
      <w:marRight w:val="0"/>
      <w:marTop w:val="0"/>
      <w:marBottom w:val="0"/>
      <w:divBdr>
        <w:top w:val="none" w:sz="0" w:space="0" w:color="auto"/>
        <w:left w:val="none" w:sz="0" w:space="0" w:color="auto"/>
        <w:bottom w:val="none" w:sz="0" w:space="0" w:color="auto"/>
        <w:right w:val="none" w:sz="0" w:space="0" w:color="auto"/>
      </w:divBdr>
    </w:div>
    <w:div w:id="1664965255">
      <w:bodyDiv w:val="1"/>
      <w:marLeft w:val="0"/>
      <w:marRight w:val="0"/>
      <w:marTop w:val="0"/>
      <w:marBottom w:val="0"/>
      <w:divBdr>
        <w:top w:val="none" w:sz="0" w:space="0" w:color="auto"/>
        <w:left w:val="none" w:sz="0" w:space="0" w:color="auto"/>
        <w:bottom w:val="none" w:sz="0" w:space="0" w:color="auto"/>
        <w:right w:val="none" w:sz="0" w:space="0" w:color="auto"/>
      </w:divBdr>
    </w:div>
    <w:div w:id="1690646070">
      <w:bodyDiv w:val="1"/>
      <w:marLeft w:val="0"/>
      <w:marRight w:val="0"/>
      <w:marTop w:val="0"/>
      <w:marBottom w:val="0"/>
      <w:divBdr>
        <w:top w:val="none" w:sz="0" w:space="0" w:color="auto"/>
        <w:left w:val="none" w:sz="0" w:space="0" w:color="auto"/>
        <w:bottom w:val="none" w:sz="0" w:space="0" w:color="auto"/>
        <w:right w:val="none" w:sz="0" w:space="0" w:color="auto"/>
      </w:divBdr>
    </w:div>
    <w:div w:id="1740404648">
      <w:bodyDiv w:val="1"/>
      <w:marLeft w:val="0"/>
      <w:marRight w:val="0"/>
      <w:marTop w:val="0"/>
      <w:marBottom w:val="0"/>
      <w:divBdr>
        <w:top w:val="none" w:sz="0" w:space="0" w:color="auto"/>
        <w:left w:val="none" w:sz="0" w:space="0" w:color="auto"/>
        <w:bottom w:val="none" w:sz="0" w:space="0" w:color="auto"/>
        <w:right w:val="none" w:sz="0" w:space="0" w:color="auto"/>
      </w:divBdr>
    </w:div>
    <w:div w:id="1793594856">
      <w:bodyDiv w:val="1"/>
      <w:marLeft w:val="0"/>
      <w:marRight w:val="0"/>
      <w:marTop w:val="0"/>
      <w:marBottom w:val="0"/>
      <w:divBdr>
        <w:top w:val="none" w:sz="0" w:space="0" w:color="auto"/>
        <w:left w:val="none" w:sz="0" w:space="0" w:color="auto"/>
        <w:bottom w:val="none" w:sz="0" w:space="0" w:color="auto"/>
        <w:right w:val="none" w:sz="0" w:space="0" w:color="auto"/>
      </w:divBdr>
    </w:div>
    <w:div w:id="1853568427">
      <w:bodyDiv w:val="1"/>
      <w:marLeft w:val="0"/>
      <w:marRight w:val="0"/>
      <w:marTop w:val="0"/>
      <w:marBottom w:val="0"/>
      <w:divBdr>
        <w:top w:val="none" w:sz="0" w:space="0" w:color="auto"/>
        <w:left w:val="none" w:sz="0" w:space="0" w:color="auto"/>
        <w:bottom w:val="none" w:sz="0" w:space="0" w:color="auto"/>
        <w:right w:val="none" w:sz="0" w:space="0" w:color="auto"/>
      </w:divBdr>
    </w:div>
    <w:div w:id="1918586485">
      <w:bodyDiv w:val="1"/>
      <w:marLeft w:val="0"/>
      <w:marRight w:val="0"/>
      <w:marTop w:val="0"/>
      <w:marBottom w:val="0"/>
      <w:divBdr>
        <w:top w:val="none" w:sz="0" w:space="0" w:color="auto"/>
        <w:left w:val="none" w:sz="0" w:space="0" w:color="auto"/>
        <w:bottom w:val="none" w:sz="0" w:space="0" w:color="auto"/>
        <w:right w:val="none" w:sz="0" w:space="0" w:color="auto"/>
      </w:divBdr>
    </w:div>
    <w:div w:id="2109108955">
      <w:bodyDiv w:val="1"/>
      <w:marLeft w:val="0"/>
      <w:marRight w:val="0"/>
      <w:marTop w:val="0"/>
      <w:marBottom w:val="0"/>
      <w:divBdr>
        <w:top w:val="none" w:sz="0" w:space="0" w:color="auto"/>
        <w:left w:val="none" w:sz="0" w:space="0" w:color="auto"/>
        <w:bottom w:val="none" w:sz="0" w:space="0" w:color="auto"/>
        <w:right w:val="none" w:sz="0" w:space="0" w:color="auto"/>
      </w:divBdr>
    </w:div>
    <w:div w:id="21427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1" ma:contentTypeDescription="Create a new document." ma:contentTypeScope="" ma:versionID="daaaf0f7b03b16223f26b2c520fc0716">
  <xsd:schema xmlns:xsd="http://www.w3.org/2001/XMLSchema" xmlns:xs="http://www.w3.org/2001/XMLSchema" xmlns:p="http://schemas.microsoft.com/office/2006/metadata/properties" xmlns:ns3="e7d7db42-42a6-43f5-9564-b07fbd249d3f" xmlns:ns4="0d47a867-ae85-4f49-9693-a9c2c55e8dca" targetNamespace="http://schemas.microsoft.com/office/2006/metadata/properties" ma:root="true" ma:fieldsID="1545b98ab31f5e564ffd33b9b65c1263" ns3:_="" ns4:_="">
    <xsd:import namespace="e7d7db42-42a6-43f5-9564-b07fbd249d3f"/>
    <xsd:import namespace="0d47a867-ae85-4f49-9693-a9c2c55e8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5A223-D5A1-4C18-BBE7-76E0B618311E}">
  <ds:schemaRefs>
    <ds:schemaRef ds:uri="http://schemas.openxmlformats.org/officeDocument/2006/bibliography"/>
  </ds:schemaRefs>
</ds:datastoreItem>
</file>

<file path=customXml/itemProps2.xml><?xml version="1.0" encoding="utf-8"?>
<ds:datastoreItem xmlns:ds="http://schemas.openxmlformats.org/officeDocument/2006/customXml" ds:itemID="{52B5686F-41F2-4A1E-9A23-B9B00537C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7db42-42a6-43f5-9564-b07fbd249d3f"/>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8D5FA-3E6B-47EF-A81C-5C11537698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17469B-B831-46BA-92AA-0632F3AF9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17662</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
  <cp:keywords/>
  <cp:lastModifiedBy/>
  <cp:revision>1</cp:revision>
  <dcterms:created xsi:type="dcterms:W3CDTF">2021-08-20T22:43:00Z</dcterms:created>
  <dcterms:modified xsi:type="dcterms:W3CDTF">2021-08-20T22:43:00Z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