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30B6"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14:paraId="7661A276"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1AA27BBC"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6671A04E" w14:textId="77777777"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14:paraId="301FB557" w14:textId="77777777"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5817A9" w:rsidRPr="00026DFF">
        <w:rPr>
          <w:rFonts w:ascii="Arial" w:hAnsi="Arial" w:cs="Arial"/>
          <w:sz w:val="24"/>
          <w:szCs w:val="24"/>
        </w:rPr>
        <w:t>ns, section 9792.23</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updates to the MTUS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 xml:space="preserve">e’s (ACOEM) Anxiety </w:t>
      </w:r>
      <w:r w:rsidR="009826E9" w:rsidRPr="00026DFF">
        <w:rPr>
          <w:rFonts w:ascii="Arial" w:hAnsi="Arial" w:cs="Arial"/>
          <w:sz w:val="24"/>
          <w:szCs w:val="24"/>
        </w:rPr>
        <w:t>Disorders module of the Workpla</w:t>
      </w:r>
      <w:r w:rsidR="001745D0">
        <w:rPr>
          <w:rFonts w:ascii="Arial" w:hAnsi="Arial" w:cs="Arial"/>
          <w:sz w:val="24"/>
          <w:szCs w:val="24"/>
        </w:rPr>
        <w:t xml:space="preserve">ce Mental Health Guideline </w:t>
      </w:r>
      <w:r w:rsidR="00B074CB" w:rsidRPr="00026DFF">
        <w:rPr>
          <w:rFonts w:ascii="Arial" w:hAnsi="Arial" w:cs="Arial"/>
          <w:sz w:val="24"/>
          <w:szCs w:val="24"/>
        </w:rPr>
        <w:t>in</w:t>
      </w:r>
      <w:r w:rsidR="002E75EB" w:rsidRPr="00026DFF">
        <w:rPr>
          <w:rFonts w:ascii="Arial" w:hAnsi="Arial" w:cs="Arial"/>
          <w:sz w:val="24"/>
          <w:szCs w:val="24"/>
        </w:rPr>
        <w:t>to the Clinical Topics section</w:t>
      </w:r>
      <w:r w:rsidRPr="00026DFF">
        <w:rPr>
          <w:rFonts w:ascii="Arial" w:hAnsi="Arial" w:cs="Arial"/>
          <w:sz w:val="24"/>
          <w:szCs w:val="24"/>
        </w:rPr>
        <w:t xml:space="preserve"> of the MTUS. </w:t>
      </w:r>
    </w:p>
    <w:p w14:paraId="4B7C9EC0"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06E304EB" w14:textId="77777777" w:rsidR="00FA0F58" w:rsidRPr="00026DFF" w:rsidRDefault="00944B1A" w:rsidP="001745D0">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E97EEB" w:rsidRPr="00026DFF">
        <w:rPr>
          <w:rFonts w:ascii="Arial" w:hAnsi="Arial" w:cs="Arial"/>
        </w:rPr>
        <w:t xml:space="preserve">following sections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14:paraId="4E4064B1" w14:textId="77777777" w:rsidR="009826E9" w:rsidRPr="00026DFF" w:rsidRDefault="009826E9" w:rsidP="00026DFF">
      <w:pPr>
        <w:spacing w:after="0"/>
        <w:rPr>
          <w:rFonts w:ascii="Arial" w:hAnsi="Arial" w:cs="Arial"/>
          <w:sz w:val="24"/>
          <w:szCs w:val="24"/>
        </w:rPr>
      </w:pPr>
      <w:r w:rsidRPr="00026DFF">
        <w:rPr>
          <w:rFonts w:ascii="Arial" w:hAnsi="Arial" w:cs="Arial"/>
          <w:sz w:val="24"/>
          <w:szCs w:val="24"/>
        </w:rPr>
        <w:t xml:space="preserve">§ 9792.23.8 </w:t>
      </w:r>
      <w:r w:rsidRPr="00026DFF">
        <w:rPr>
          <w:rFonts w:ascii="Arial" w:hAnsi="Arial" w:cs="Arial"/>
          <w:sz w:val="24"/>
          <w:szCs w:val="24"/>
        </w:rPr>
        <w:tab/>
        <w:t xml:space="preserve">Workplace Mental Health </w:t>
      </w:r>
      <w:r w:rsidR="001745D0">
        <w:rPr>
          <w:rFonts w:ascii="Arial" w:hAnsi="Arial" w:cs="Arial"/>
          <w:sz w:val="24"/>
          <w:szCs w:val="24"/>
        </w:rPr>
        <w:t>Guideline: Anxiety</w:t>
      </w:r>
      <w:r w:rsidR="00F623DE" w:rsidRPr="00026DFF">
        <w:rPr>
          <w:rFonts w:ascii="Arial" w:hAnsi="Arial" w:cs="Arial"/>
          <w:sz w:val="24"/>
          <w:szCs w:val="24"/>
        </w:rPr>
        <w:t xml:space="preserve"> Disorders</w:t>
      </w:r>
    </w:p>
    <w:p w14:paraId="1763B26B" w14:textId="77777777" w:rsidR="001745D0" w:rsidRDefault="001745D0" w:rsidP="005675EB">
      <w:pPr>
        <w:pStyle w:val="BodyText3"/>
        <w:widowControl w:val="0"/>
        <w:spacing w:after="240" w:line="240" w:lineRule="auto"/>
        <w:jc w:val="center"/>
        <w:rPr>
          <w:rFonts w:ascii="Arial" w:hAnsi="Arial" w:cs="Arial"/>
          <w:b/>
        </w:rPr>
      </w:pPr>
    </w:p>
    <w:p w14:paraId="66C07DB9"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01A40DA9"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0DACABA5"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3441829B" w14:textId="77777777"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5307.3 and 5307.4 and the rulemaking provisions of the Administrative Procedure Act (APA)</w:t>
      </w:r>
      <w:r w:rsidR="00260F45" w:rsidRPr="00026DFF">
        <w:rPr>
          <w:rFonts w:ascii="Arial" w:hAnsi="Arial" w:cs="Arial"/>
          <w:sz w:val="24"/>
          <w:szCs w:val="24"/>
        </w:rPr>
        <w:t xml:space="preserve"> </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503C32FC"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307CD85C"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w:t>
      </w:r>
      <w:proofErr w:type="gramStart"/>
      <w:r w:rsidRPr="00026DFF">
        <w:rPr>
          <w:rFonts w:ascii="Arial" w:hAnsi="Arial" w:cs="Arial"/>
          <w:sz w:val="24"/>
          <w:szCs w:val="24"/>
        </w:rPr>
        <w:t>nationally</w:t>
      </w:r>
      <w:r w:rsidR="005A5D34" w:rsidRPr="00026DFF">
        <w:rPr>
          <w:rFonts w:ascii="Arial" w:hAnsi="Arial" w:cs="Arial"/>
          <w:sz w:val="24"/>
          <w:szCs w:val="24"/>
        </w:rPr>
        <w:t>-</w:t>
      </w:r>
      <w:r w:rsidRPr="00026DFF">
        <w:rPr>
          <w:rFonts w:ascii="Arial" w:hAnsi="Arial" w:cs="Arial"/>
          <w:sz w:val="24"/>
          <w:szCs w:val="24"/>
        </w:rPr>
        <w:t>recognized</w:t>
      </w:r>
      <w:proofErr w:type="gramEnd"/>
      <w:r w:rsidRPr="00026DFF">
        <w:rPr>
          <w:rFonts w:ascii="Arial" w:hAnsi="Arial" w:cs="Arial"/>
          <w:sz w:val="24"/>
          <w:szCs w:val="24"/>
        </w:rPr>
        <w:t xml:space="preserve"> standards </w:t>
      </w:r>
      <w:r w:rsidRPr="00026DFF">
        <w:rPr>
          <w:rFonts w:ascii="Arial" w:hAnsi="Arial" w:cs="Arial"/>
          <w:sz w:val="24"/>
          <w:szCs w:val="24"/>
        </w:rPr>
        <w:lastRenderedPageBreak/>
        <w:t xml:space="preserve">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4085054F"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4A2970E7"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32DD3984" w14:textId="77777777"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MTUS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ecent ACOEM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Updates to the current codified MTUS are shown in strikethrough to indicate deletions and underscore to show additions.</w:t>
      </w:r>
    </w:p>
    <w:p w14:paraId="6BF4507F" w14:textId="77777777" w:rsidR="001745D0" w:rsidRDefault="0019033F" w:rsidP="001745D0">
      <w:pPr>
        <w:spacing w:after="480" w:line="240" w:lineRule="auto"/>
        <w:rPr>
          <w:rFonts w:ascii="Arial" w:hAnsi="Arial" w:cs="Arial"/>
          <w:sz w:val="24"/>
          <w:szCs w:val="24"/>
        </w:rPr>
      </w:pPr>
      <w:r w:rsidRPr="00026DFF">
        <w:rPr>
          <w:rFonts w:ascii="Arial" w:hAnsi="Arial" w:cs="Arial"/>
          <w:sz w:val="24"/>
          <w:szCs w:val="24"/>
        </w:rPr>
        <w:t>The proposed evidence-based updates to the MTUS to implement Labor Code section</w:t>
      </w:r>
      <w:r w:rsidR="008D5AFC" w:rsidRPr="00026DFF">
        <w:rPr>
          <w:rFonts w:ascii="Arial" w:hAnsi="Arial" w:cs="Arial"/>
          <w:sz w:val="24"/>
          <w:szCs w:val="24"/>
        </w:rPr>
        <w:t xml:space="preserve"> 5307.27 are</w:t>
      </w:r>
      <w:r w:rsidRPr="00026DFF">
        <w:rPr>
          <w:rFonts w:ascii="Arial" w:hAnsi="Arial" w:cs="Arial"/>
          <w:sz w:val="24"/>
          <w:szCs w:val="24"/>
        </w:rPr>
        <w:t xml:space="preserve"> as follows:</w:t>
      </w:r>
    </w:p>
    <w:p w14:paraId="16C10649" w14:textId="77777777" w:rsidR="009826E9" w:rsidRPr="001745D0" w:rsidRDefault="009826E9" w:rsidP="001745D0">
      <w:pPr>
        <w:spacing w:after="480" w:line="240" w:lineRule="auto"/>
        <w:rPr>
          <w:rFonts w:ascii="Arial" w:hAnsi="Arial" w:cs="Arial"/>
          <w:sz w:val="24"/>
          <w:szCs w:val="24"/>
        </w:rPr>
      </w:pPr>
      <w:r w:rsidRPr="00026DFF">
        <w:rPr>
          <w:rFonts w:ascii="Arial" w:eastAsia="Times New Roman" w:hAnsi="Arial" w:cs="Arial"/>
          <w:b/>
          <w:bCs/>
          <w:color w:val="212121"/>
          <w:sz w:val="24"/>
          <w:szCs w:val="24"/>
          <w:lang w:val="en"/>
        </w:rPr>
        <w:t>§ 9792.23.8. Workplace Mental Health Guideline.</w:t>
      </w:r>
    </w:p>
    <w:p w14:paraId="061AD299" w14:textId="77777777" w:rsidR="005A0489" w:rsidRPr="00026DFF" w:rsidRDefault="005A0489" w:rsidP="00026DFF">
      <w:pPr>
        <w:spacing w:after="240" w:line="240" w:lineRule="auto"/>
        <w:rPr>
          <w:rFonts w:ascii="Arial" w:hAnsi="Arial" w:cs="Arial"/>
          <w:sz w:val="24"/>
          <w:szCs w:val="24"/>
        </w:rPr>
      </w:pPr>
      <w:r w:rsidRPr="00026DFF">
        <w:rPr>
          <w:rFonts w:ascii="Arial" w:hAnsi="Arial" w:cs="Arial"/>
          <w:sz w:val="24"/>
          <w:szCs w:val="24"/>
        </w:rPr>
        <w:lastRenderedPageBreak/>
        <w:t>This section contains the guideline for treatment and evaluation of workplace mental health. The Workplace Mental Health Guideline is composed of a series of modules addressing the issue of workplace mental health that began with the module entitled Posttraumatic Stress Disorder and Acute</w:t>
      </w:r>
      <w:r w:rsidR="001745D0">
        <w:rPr>
          <w:rFonts w:ascii="Arial" w:hAnsi="Arial" w:cs="Arial"/>
          <w:sz w:val="24"/>
          <w:szCs w:val="24"/>
        </w:rPr>
        <w:t xml:space="preserve"> Stress Disorder. The Anxiety Disorders module is the third</w:t>
      </w:r>
      <w:r w:rsidRPr="00026DFF">
        <w:rPr>
          <w:rFonts w:ascii="Arial" w:hAnsi="Arial" w:cs="Arial"/>
          <w:sz w:val="24"/>
          <w:szCs w:val="24"/>
        </w:rPr>
        <w:t xml:space="preserve"> module being added to the Workplace Mental Health Guideline so that recommendations for ev</w:t>
      </w:r>
      <w:r w:rsidR="001745D0">
        <w:rPr>
          <w:rFonts w:ascii="Arial" w:hAnsi="Arial" w:cs="Arial"/>
          <w:sz w:val="24"/>
          <w:szCs w:val="24"/>
        </w:rPr>
        <w:t>aluating and managing anxiety</w:t>
      </w:r>
      <w:r w:rsidRPr="00026DFF">
        <w:rPr>
          <w:rFonts w:ascii="Arial" w:hAnsi="Arial" w:cs="Arial"/>
          <w:sz w:val="24"/>
          <w:szCs w:val="24"/>
        </w:rPr>
        <w:t xml:space="preserve"> disorders represent current ev</w:t>
      </w:r>
      <w:r w:rsidR="00026DFF">
        <w:rPr>
          <w:rFonts w:ascii="Arial" w:hAnsi="Arial" w:cs="Arial"/>
          <w:sz w:val="24"/>
          <w:szCs w:val="24"/>
        </w:rPr>
        <w:t>idence-based standards of care.</w:t>
      </w:r>
    </w:p>
    <w:p w14:paraId="4E0DF446"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 xml:space="preserve">TIME AND PLACE OF </w:t>
      </w:r>
      <w:r w:rsidR="00475C81" w:rsidRPr="00026DFF">
        <w:rPr>
          <w:rFonts w:ascii="Arial" w:hAnsi="Arial" w:cs="Arial"/>
          <w:b/>
        </w:rPr>
        <w:t xml:space="preserve">CONFERENCE CALL </w:t>
      </w:r>
      <w:r w:rsidRPr="00026DFF">
        <w:rPr>
          <w:rFonts w:ascii="Arial" w:hAnsi="Arial" w:cs="Arial"/>
          <w:b/>
        </w:rPr>
        <w:t>PUBLIC HEARING</w:t>
      </w:r>
    </w:p>
    <w:p w14:paraId="08610038" w14:textId="77777777" w:rsidR="00F65E22" w:rsidRPr="00026DFF" w:rsidRDefault="00484B6E" w:rsidP="00026DFF">
      <w:pPr>
        <w:pStyle w:val="BodyText3"/>
        <w:widowControl w:val="0"/>
        <w:spacing w:after="240" w:line="240" w:lineRule="auto"/>
        <w:jc w:val="left"/>
        <w:rPr>
          <w:rFonts w:ascii="Arial" w:hAnsi="Arial" w:cs="Arial"/>
        </w:rPr>
      </w:pPr>
      <w:proofErr w:type="gramStart"/>
      <w:r w:rsidRPr="00026DFF">
        <w:rPr>
          <w:rFonts w:ascii="Arial" w:hAnsi="Arial" w:cs="Arial"/>
        </w:rPr>
        <w:t>In light of</w:t>
      </w:r>
      <w:proofErr w:type="gramEnd"/>
      <w:r w:rsidRPr="00026DFF">
        <w:rPr>
          <w:rFonts w:ascii="Arial" w:hAnsi="Arial" w:cs="Arial"/>
        </w:rPr>
        <w:t xml:space="preserve"> the COVID</w:t>
      </w:r>
      <w:r w:rsidR="001745D0">
        <w:rPr>
          <w:rFonts w:ascii="Arial" w:hAnsi="Arial" w:cs="Arial"/>
        </w:rPr>
        <w:t>-19 public health emergency</w:t>
      </w:r>
      <w:r w:rsidR="00F65E22" w:rsidRPr="00026DFF">
        <w:rPr>
          <w:rFonts w:ascii="Arial" w:hAnsi="Arial" w:cs="Arial"/>
        </w:rPr>
        <w:t xml:space="preserve"> a</w:t>
      </w:r>
      <w:r w:rsidR="005D1658" w:rsidRPr="00026DFF">
        <w:rPr>
          <w:rFonts w:ascii="Arial" w:hAnsi="Arial" w:cs="Arial"/>
        </w:rPr>
        <w:t xml:space="preserve"> </w:t>
      </w:r>
      <w:r w:rsidRPr="00026DFF">
        <w:rPr>
          <w:rFonts w:ascii="Arial" w:hAnsi="Arial" w:cs="Arial"/>
        </w:rPr>
        <w:t xml:space="preserve">conference call public hearing has been scheduled in lieu of an in-person </w:t>
      </w:r>
      <w:r w:rsidR="005D1658" w:rsidRPr="00026DFF">
        <w:rPr>
          <w:rFonts w:ascii="Arial" w:hAnsi="Arial" w:cs="Arial"/>
        </w:rPr>
        <w:t>pu</w:t>
      </w:r>
      <w:r w:rsidRPr="00026DFF">
        <w:rPr>
          <w:rFonts w:ascii="Arial" w:hAnsi="Arial" w:cs="Arial"/>
        </w:rPr>
        <w:t xml:space="preserve">blic hearing </w:t>
      </w:r>
      <w:r w:rsidR="005D1658" w:rsidRPr="00026DFF">
        <w:rPr>
          <w:rFonts w:ascii="Arial" w:hAnsi="Arial" w:cs="Arial"/>
        </w:rPr>
        <w:t xml:space="preserve">to permit all interested persons the opportunity to present </w:t>
      </w:r>
      <w:r w:rsidR="00CF200B" w:rsidRPr="00026DFF">
        <w:rPr>
          <w:rFonts w:ascii="Arial" w:hAnsi="Arial" w:cs="Arial"/>
        </w:rPr>
        <w:t xml:space="preserve">oral </w:t>
      </w:r>
      <w:r w:rsidR="005D1658" w:rsidRPr="00026DFF">
        <w:rPr>
          <w:rFonts w:ascii="Arial" w:hAnsi="Arial" w:cs="Arial"/>
        </w:rPr>
        <w:t>statements or</w:t>
      </w:r>
      <w:r w:rsidR="00CF200B" w:rsidRPr="00026DFF">
        <w:rPr>
          <w:rFonts w:ascii="Arial" w:hAnsi="Arial" w:cs="Arial"/>
        </w:rPr>
        <w:t xml:space="preserve"> arguments </w:t>
      </w:r>
      <w:r w:rsidR="005D1658" w:rsidRPr="00026DFF">
        <w:rPr>
          <w:rFonts w:ascii="Arial" w:hAnsi="Arial" w:cs="Arial"/>
        </w:rPr>
        <w:t>with respect to the proposed evidence-based updates to the MTUS</w:t>
      </w:r>
      <w:r w:rsidR="00CF200B" w:rsidRPr="00026DFF">
        <w:rPr>
          <w:rFonts w:ascii="Arial" w:hAnsi="Arial" w:cs="Arial"/>
        </w:rPr>
        <w:t xml:space="preserve"> </w:t>
      </w:r>
      <w:r w:rsidR="005D1658" w:rsidRPr="00026DFF">
        <w:rPr>
          <w:rFonts w:ascii="Arial" w:hAnsi="Arial" w:cs="Arial"/>
        </w:rPr>
        <w:t>on the following date:</w:t>
      </w:r>
    </w:p>
    <w:p w14:paraId="0C520F35" w14:textId="77777777"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0C38C1">
        <w:rPr>
          <w:rFonts w:ascii="Arial" w:hAnsi="Arial" w:cs="Arial"/>
          <w:b/>
        </w:rPr>
        <w:t>June 11</w:t>
      </w:r>
      <w:r w:rsidR="0012600D">
        <w:rPr>
          <w:rFonts w:ascii="Arial" w:hAnsi="Arial" w:cs="Arial"/>
          <w:b/>
        </w:rPr>
        <w:t>,</w:t>
      </w:r>
      <w:r w:rsidR="0023482C">
        <w:rPr>
          <w:rFonts w:ascii="Arial" w:hAnsi="Arial" w:cs="Arial"/>
          <w:b/>
        </w:rPr>
        <w:t xml:space="preserve"> 2021</w:t>
      </w:r>
    </w:p>
    <w:p w14:paraId="431E13D5" w14:textId="77777777" w:rsidR="005D1658" w:rsidRPr="00026DFF" w:rsidRDefault="005A0489" w:rsidP="00026DFF">
      <w:pPr>
        <w:pStyle w:val="BodyText3"/>
        <w:widowControl w:val="0"/>
        <w:ind w:left="720"/>
        <w:jc w:val="left"/>
        <w:rPr>
          <w:rFonts w:ascii="Arial" w:hAnsi="Arial" w:cs="Arial"/>
          <w:b/>
        </w:rPr>
      </w:pPr>
      <w:r w:rsidRPr="00026DFF">
        <w:rPr>
          <w:rFonts w:ascii="Arial" w:hAnsi="Arial" w:cs="Arial"/>
          <w:b/>
        </w:rPr>
        <w:t>Time: 10</w:t>
      </w:r>
      <w:r w:rsidR="005D1658" w:rsidRPr="00026DFF">
        <w:rPr>
          <w:rFonts w:ascii="Arial" w:hAnsi="Arial" w:cs="Arial"/>
          <w:b/>
        </w:rPr>
        <w:t>:00 a.m. to 5:00 p.m., or until conclusion of business</w:t>
      </w:r>
    </w:p>
    <w:p w14:paraId="73EBB954" w14:textId="77777777" w:rsidR="005D1658" w:rsidRPr="00026DFF" w:rsidRDefault="00F65E22" w:rsidP="00026DFF">
      <w:pPr>
        <w:pStyle w:val="BodyText3"/>
        <w:widowControl w:val="0"/>
        <w:spacing w:after="240" w:line="240" w:lineRule="auto"/>
        <w:ind w:left="720"/>
        <w:jc w:val="left"/>
        <w:rPr>
          <w:rFonts w:ascii="Arial" w:hAnsi="Arial" w:cs="Arial"/>
          <w:b/>
        </w:rPr>
      </w:pPr>
      <w:r w:rsidRPr="00026DFF">
        <w:rPr>
          <w:rFonts w:ascii="Arial" w:hAnsi="Arial" w:cs="Arial"/>
          <w:b/>
        </w:rPr>
        <w:t xml:space="preserve">Call: </w:t>
      </w:r>
      <w:r w:rsidRPr="00026DFF">
        <w:rPr>
          <w:rFonts w:ascii="Arial" w:hAnsi="Arial" w:cs="Arial"/>
          <w:b/>
        </w:rPr>
        <w:tab/>
      </w:r>
      <w:r w:rsidRPr="00B32915">
        <w:rPr>
          <w:rFonts w:ascii="Arial" w:hAnsi="Arial" w:cs="Arial"/>
          <w:b/>
        </w:rPr>
        <w:t>1-866-390</w:t>
      </w:r>
      <w:r w:rsidR="00B32915" w:rsidRPr="00B32915">
        <w:rPr>
          <w:rFonts w:ascii="Arial" w:hAnsi="Arial" w:cs="Arial"/>
          <w:b/>
        </w:rPr>
        <w:t>-1828; then access cod</w:t>
      </w:r>
      <w:r w:rsidR="00B32915">
        <w:rPr>
          <w:rFonts w:ascii="Arial" w:hAnsi="Arial" w:cs="Arial"/>
          <w:b/>
        </w:rPr>
        <w:t>e 5497535;</w:t>
      </w:r>
      <w:r w:rsidR="00B32915" w:rsidRPr="00B32915">
        <w:rPr>
          <w:rFonts w:ascii="Arial" w:hAnsi="Arial" w:cs="Arial"/>
          <w:b/>
        </w:rPr>
        <w:t xml:space="preserve"> then press #</w:t>
      </w:r>
    </w:p>
    <w:p w14:paraId="3531BB62" w14:textId="77777777"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4FEE7FC8" w14:textId="77777777"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5A0489" w:rsidRPr="00026DFF">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0BA90C0D" w14:textId="77777777" w:rsidR="005D1658" w:rsidRPr="00026DFF" w:rsidRDefault="002B4A17" w:rsidP="004B1CDE">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 </w:t>
      </w:r>
      <w:r w:rsidR="00656DB8" w:rsidRPr="00026DFF">
        <w:rPr>
          <w:rFonts w:ascii="Arial" w:hAnsi="Arial" w:cs="Arial"/>
          <w:sz w:val="24"/>
          <w:szCs w:val="24"/>
        </w:rPr>
        <w:t xml:space="preserve">conference call public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6F4013E1"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084791AF"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0C38C1">
        <w:rPr>
          <w:rFonts w:ascii="Arial" w:hAnsi="Arial" w:cs="Arial"/>
        </w:rPr>
        <w:t>on June 11</w:t>
      </w:r>
      <w:r w:rsidR="0023482C">
        <w:rPr>
          <w:rFonts w:ascii="Arial" w:hAnsi="Arial" w:cs="Arial"/>
        </w:rPr>
        <w:t>, 2021</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rkers’ Compensation by 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3CAC8C44"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Submit written comments concerning the proposed regulations prior to the close of the </w:t>
      </w:r>
      <w:r w:rsidRPr="00026DFF">
        <w:rPr>
          <w:rFonts w:ascii="Arial" w:hAnsi="Arial" w:cs="Arial"/>
        </w:rPr>
        <w:lastRenderedPageBreak/>
        <w:t>public comment period to</w:t>
      </w:r>
      <w:r w:rsidR="00714B17" w:rsidRPr="00026DFF">
        <w:rPr>
          <w:rFonts w:ascii="Arial" w:hAnsi="Arial" w:cs="Arial"/>
        </w:rPr>
        <w:t xml:space="preserve"> the DWC contact person</w:t>
      </w:r>
      <w:r w:rsidRPr="00026DFF">
        <w:rPr>
          <w:rFonts w:ascii="Arial" w:hAnsi="Arial" w:cs="Arial"/>
        </w:rPr>
        <w:t>:</w:t>
      </w:r>
    </w:p>
    <w:p w14:paraId="428DCE31"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552BFE33"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13C3C08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57BE826A"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429E0841"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43AF8718"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3FDE899F"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0C38C1">
        <w:rPr>
          <w:rFonts w:ascii="Arial" w:hAnsi="Arial" w:cs="Arial"/>
        </w:rPr>
        <w:t>June 11</w:t>
      </w:r>
      <w:r w:rsidR="005A0489" w:rsidRPr="00B32915">
        <w:rPr>
          <w:rFonts w:ascii="Arial" w:hAnsi="Arial" w:cs="Arial"/>
        </w:rPr>
        <w:t>,</w:t>
      </w:r>
      <w:r w:rsidR="0023482C">
        <w:rPr>
          <w:rFonts w:ascii="Arial" w:hAnsi="Arial" w:cs="Arial"/>
        </w:rPr>
        <w:t xml:space="preserve"> 2021</w:t>
      </w:r>
      <w:r w:rsidRPr="00026DFF">
        <w:rPr>
          <w:rFonts w:ascii="Arial" w:hAnsi="Arial" w:cs="Arial"/>
        </w:rPr>
        <w:t>.</w:t>
      </w:r>
    </w:p>
    <w:p w14:paraId="575273CC"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11314D8D"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2B78D80A"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5604CBDA"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110D4A5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45E95414"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234B5BC2"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1D0BE8D0"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CEF240A"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2D46817B"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14:paraId="04E20A41"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6EB0066C"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71F360E1"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John Cortes</w:t>
      </w:r>
    </w:p>
    <w:p w14:paraId="20D89D7D"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311E80BB"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A3D41DF"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1B15143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jcortes@dir.ca.gov</w:t>
      </w:r>
      <w:r w:rsidRPr="00026DFF">
        <w:rPr>
          <w:rFonts w:ascii="Arial" w:hAnsi="Arial" w:cs="Arial"/>
        </w:rPr>
        <w:tab/>
      </w:r>
    </w:p>
    <w:p w14:paraId="12B4E30A" w14:textId="77777777" w:rsidR="0023482C" w:rsidRDefault="005D1658" w:rsidP="004B1CDE">
      <w:pPr>
        <w:pStyle w:val="BodyText3"/>
        <w:widowControl w:val="0"/>
        <w:spacing w:line="240" w:lineRule="auto"/>
        <w:ind w:left="2160"/>
        <w:jc w:val="left"/>
        <w:rPr>
          <w:rFonts w:ascii="Arial" w:hAnsi="Arial" w:cs="Arial"/>
        </w:rPr>
      </w:pPr>
      <w:r w:rsidRPr="00026DFF">
        <w:rPr>
          <w:rFonts w:ascii="Arial" w:hAnsi="Arial" w:cs="Arial"/>
        </w:rPr>
        <w:t>Telephone: (510) 286-7100</w:t>
      </w:r>
    </w:p>
    <w:p w14:paraId="4076A96F" w14:textId="77777777" w:rsidR="0023482C" w:rsidRPr="0023482C" w:rsidRDefault="0023482C" w:rsidP="0023482C"/>
    <w:p w14:paraId="234EE702" w14:textId="77777777" w:rsidR="0023482C" w:rsidRDefault="0023482C" w:rsidP="0023482C"/>
    <w:p w14:paraId="25010FD8" w14:textId="77777777" w:rsidR="005D1658" w:rsidRPr="0023482C" w:rsidRDefault="0023482C" w:rsidP="0023482C">
      <w:pPr>
        <w:tabs>
          <w:tab w:val="left" w:pos="4135"/>
        </w:tabs>
      </w:pPr>
      <w:r>
        <w:tab/>
      </w:r>
    </w:p>
    <w:sectPr w:rsidR="005D1658" w:rsidRPr="002348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AB06" w14:textId="77777777" w:rsidR="00015B75" w:rsidRDefault="00015B75" w:rsidP="00A902F4">
      <w:pPr>
        <w:spacing w:after="0" w:line="240" w:lineRule="auto"/>
      </w:pPr>
      <w:r>
        <w:separator/>
      </w:r>
    </w:p>
  </w:endnote>
  <w:endnote w:type="continuationSeparator" w:id="0">
    <w:p w14:paraId="4ECBA920" w14:textId="77777777" w:rsidR="00015B75" w:rsidRDefault="00015B75"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A18A" w14:textId="77777777" w:rsidR="00FD4DA9" w:rsidRDefault="00FD4DA9">
    <w:pPr>
      <w:pStyle w:val="Footer"/>
      <w:rPr>
        <w:rFonts w:ascii="Times New Roman" w:hAnsi="Times New Roman"/>
        <w:sz w:val="18"/>
        <w:szCs w:val="18"/>
      </w:rPr>
    </w:pPr>
  </w:p>
  <w:p w14:paraId="1D3B232C" w14:textId="77777777" w:rsidR="005B6235" w:rsidRPr="001138C3" w:rsidRDefault="005B6235">
    <w:pPr>
      <w:pStyle w:val="Footer"/>
      <w:rPr>
        <w:rFonts w:ascii="Arial" w:hAnsi="Arial" w:cs="Arial"/>
        <w:sz w:val="20"/>
        <w:szCs w:val="20"/>
      </w:rPr>
    </w:pPr>
    <w:r w:rsidRPr="001138C3">
      <w:rPr>
        <w:rFonts w:ascii="Arial" w:hAnsi="Arial" w:cs="Arial"/>
        <w:sz w:val="20"/>
        <w:szCs w:val="20"/>
      </w:rPr>
      <w:t>Notice of Proposed Evidence-Based Updates to the Medical Treatment Utilization Schedule</w:t>
    </w:r>
    <w:r w:rsidR="00172179" w:rsidRPr="001138C3">
      <w:rPr>
        <w:rFonts w:ascii="Arial" w:hAnsi="Arial" w:cs="Arial"/>
        <w:sz w:val="20"/>
        <w:szCs w:val="20"/>
      </w:rPr>
      <w:t xml:space="preserve"> (MTUS)</w:t>
    </w:r>
    <w:r w:rsidRPr="001138C3">
      <w:rPr>
        <w:rFonts w:ascii="Arial" w:hAnsi="Arial" w:cs="Arial"/>
        <w:sz w:val="20"/>
        <w:szCs w:val="20"/>
      </w:rPr>
      <w:t xml:space="preserve"> </w:t>
    </w:r>
  </w:p>
  <w:p w14:paraId="00C10204" w14:textId="77777777" w:rsidR="00A902F4" w:rsidRPr="001138C3" w:rsidRDefault="00A902F4">
    <w:pPr>
      <w:pStyle w:val="Footer"/>
      <w:rPr>
        <w:rFonts w:ascii="Arial" w:hAnsi="Arial" w:cs="Arial"/>
        <w:sz w:val="20"/>
        <w:szCs w:val="20"/>
      </w:rPr>
    </w:pPr>
    <w:r w:rsidRPr="001138C3">
      <w:rPr>
        <w:rFonts w:ascii="Arial" w:hAnsi="Arial" w:cs="Arial"/>
        <w:sz w:val="20"/>
        <w:szCs w:val="20"/>
      </w:rPr>
      <w:t>California Code of Regulations, tit</w:t>
    </w:r>
    <w:r w:rsidR="00153F58" w:rsidRPr="001138C3">
      <w:rPr>
        <w:rFonts w:ascii="Arial" w:hAnsi="Arial" w:cs="Arial"/>
        <w:sz w:val="20"/>
        <w:szCs w:val="20"/>
      </w:rPr>
      <w:t>le 8, section 9792.23</w:t>
    </w:r>
    <w:r w:rsidR="001745D0" w:rsidRPr="001138C3">
      <w:rPr>
        <w:rFonts w:ascii="Arial" w:hAnsi="Arial" w:cs="Arial"/>
        <w:sz w:val="20"/>
        <w:szCs w:val="20"/>
      </w:rPr>
      <w:t>.8</w:t>
    </w:r>
  </w:p>
  <w:p w14:paraId="0776FB52" w14:textId="77777777"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1745D0" w:rsidRPr="001138C3">
      <w:rPr>
        <w:rFonts w:ascii="Arial" w:hAnsi="Arial" w:cs="Arial"/>
        <w:sz w:val="20"/>
        <w:szCs w:val="20"/>
      </w:rPr>
      <w:t>od – May</w:t>
    </w:r>
    <w:r w:rsidR="00B32915" w:rsidRPr="001138C3">
      <w:rPr>
        <w:rFonts w:ascii="Arial" w:hAnsi="Arial" w:cs="Arial"/>
        <w:sz w:val="20"/>
        <w:szCs w:val="20"/>
      </w:rPr>
      <w:t xml:space="preserve"> </w:t>
    </w:r>
    <w:r w:rsidR="001745D0" w:rsidRPr="001138C3">
      <w:rPr>
        <w:rFonts w:ascii="Arial" w:hAnsi="Arial" w:cs="Arial"/>
        <w:sz w:val="20"/>
        <w:szCs w:val="20"/>
      </w:rPr>
      <w:t>2021</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014BBD">
      <w:rPr>
        <w:rFonts w:ascii="Arial" w:hAnsi="Arial" w:cs="Arial"/>
        <w:b/>
        <w:bCs/>
        <w:noProof/>
        <w:sz w:val="20"/>
        <w:szCs w:val="20"/>
      </w:rPr>
      <w:t>4</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014BBD">
      <w:rPr>
        <w:rFonts w:ascii="Arial" w:hAnsi="Arial" w:cs="Arial"/>
        <w:b/>
        <w:bCs/>
        <w:noProof/>
        <w:sz w:val="20"/>
        <w:szCs w:val="20"/>
      </w:rPr>
      <w:t>4</w:t>
    </w:r>
    <w:r w:rsidR="008D5AFC" w:rsidRPr="001138C3">
      <w:rPr>
        <w:rFonts w:ascii="Arial" w:hAnsi="Arial" w:cs="Arial"/>
        <w:b/>
        <w:bCs/>
        <w:sz w:val="20"/>
        <w:szCs w:val="20"/>
      </w:rPr>
      <w:fldChar w:fldCharType="end"/>
    </w:r>
  </w:p>
  <w:p w14:paraId="7A941E2D"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7EAE" w14:textId="77777777" w:rsidR="00015B75" w:rsidRDefault="00015B75" w:rsidP="00A902F4">
      <w:pPr>
        <w:spacing w:after="0" w:line="240" w:lineRule="auto"/>
      </w:pPr>
      <w:r>
        <w:separator/>
      </w:r>
    </w:p>
  </w:footnote>
  <w:footnote w:type="continuationSeparator" w:id="0">
    <w:p w14:paraId="66CE0792" w14:textId="77777777" w:rsidR="00015B75" w:rsidRDefault="00015B75"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7049"/>
    <w:rsid w:val="000073F1"/>
    <w:rsid w:val="000127F9"/>
    <w:rsid w:val="00014BBD"/>
    <w:rsid w:val="00015B75"/>
    <w:rsid w:val="00026DFF"/>
    <w:rsid w:val="00026E1B"/>
    <w:rsid w:val="000517C0"/>
    <w:rsid w:val="00062EDD"/>
    <w:rsid w:val="000637C1"/>
    <w:rsid w:val="0006546E"/>
    <w:rsid w:val="000808D7"/>
    <w:rsid w:val="00084EEA"/>
    <w:rsid w:val="000A6632"/>
    <w:rsid w:val="000B1D43"/>
    <w:rsid w:val="000B52A4"/>
    <w:rsid w:val="000B57E2"/>
    <w:rsid w:val="000C38C1"/>
    <w:rsid w:val="000C694A"/>
    <w:rsid w:val="000F59B2"/>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F045C"/>
    <w:rsid w:val="001F38EF"/>
    <w:rsid w:val="002008EF"/>
    <w:rsid w:val="00217469"/>
    <w:rsid w:val="0022114A"/>
    <w:rsid w:val="00230AFC"/>
    <w:rsid w:val="0023482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E1081"/>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4020FA"/>
    <w:rsid w:val="0042645B"/>
    <w:rsid w:val="00437487"/>
    <w:rsid w:val="00454C1E"/>
    <w:rsid w:val="00455611"/>
    <w:rsid w:val="00463CBB"/>
    <w:rsid w:val="00463FA4"/>
    <w:rsid w:val="00475C81"/>
    <w:rsid w:val="00484B6E"/>
    <w:rsid w:val="00487578"/>
    <w:rsid w:val="0049289F"/>
    <w:rsid w:val="0049681C"/>
    <w:rsid w:val="004A2AF1"/>
    <w:rsid w:val="004B1CDE"/>
    <w:rsid w:val="004C372E"/>
    <w:rsid w:val="004C4B57"/>
    <w:rsid w:val="004D2960"/>
    <w:rsid w:val="004E4617"/>
    <w:rsid w:val="0050546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6235"/>
    <w:rsid w:val="005B62A7"/>
    <w:rsid w:val="005B7C02"/>
    <w:rsid w:val="005C20F9"/>
    <w:rsid w:val="005D1658"/>
    <w:rsid w:val="005D1F3F"/>
    <w:rsid w:val="005D7075"/>
    <w:rsid w:val="005E0935"/>
    <w:rsid w:val="005F30B6"/>
    <w:rsid w:val="005F7A85"/>
    <w:rsid w:val="00606EC0"/>
    <w:rsid w:val="00614B43"/>
    <w:rsid w:val="00622E09"/>
    <w:rsid w:val="00623E64"/>
    <w:rsid w:val="00625E8E"/>
    <w:rsid w:val="00633661"/>
    <w:rsid w:val="00637FAD"/>
    <w:rsid w:val="0064586D"/>
    <w:rsid w:val="00656DB8"/>
    <w:rsid w:val="00670BF1"/>
    <w:rsid w:val="00674F3B"/>
    <w:rsid w:val="00693796"/>
    <w:rsid w:val="00693B64"/>
    <w:rsid w:val="006953C6"/>
    <w:rsid w:val="00695B34"/>
    <w:rsid w:val="006A00B9"/>
    <w:rsid w:val="006E6C2A"/>
    <w:rsid w:val="00714B17"/>
    <w:rsid w:val="00714B34"/>
    <w:rsid w:val="00732A66"/>
    <w:rsid w:val="00740DDD"/>
    <w:rsid w:val="0075795B"/>
    <w:rsid w:val="00764165"/>
    <w:rsid w:val="007819FF"/>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8E5193"/>
    <w:rsid w:val="00940ABC"/>
    <w:rsid w:val="00943A73"/>
    <w:rsid w:val="00943FF4"/>
    <w:rsid w:val="00944B1A"/>
    <w:rsid w:val="00951561"/>
    <w:rsid w:val="009558FB"/>
    <w:rsid w:val="009826E9"/>
    <w:rsid w:val="00982E92"/>
    <w:rsid w:val="009978E4"/>
    <w:rsid w:val="009A2E6E"/>
    <w:rsid w:val="009B54A0"/>
    <w:rsid w:val="009C7366"/>
    <w:rsid w:val="009E36C5"/>
    <w:rsid w:val="009E61B9"/>
    <w:rsid w:val="009E7FB1"/>
    <w:rsid w:val="00A01252"/>
    <w:rsid w:val="00A1614B"/>
    <w:rsid w:val="00A26DBD"/>
    <w:rsid w:val="00A33CC1"/>
    <w:rsid w:val="00A42FF7"/>
    <w:rsid w:val="00A53470"/>
    <w:rsid w:val="00A67887"/>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21FE"/>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2F0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DA1C-48F4-4B73-9AAE-7F7D4031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2021-05-10T22:38:00Z</dcterms:created>
  <dcterms:modified xsi:type="dcterms:W3CDTF">2021-05-10T22:38:00Z</dcterms:modified>
</cp:coreProperties>
</file>