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1F844" w14:textId="77777777" w:rsidR="001D3951" w:rsidRPr="001D3951" w:rsidRDefault="001D3951" w:rsidP="001D3951">
      <w:pPr>
        <w:spacing w:after="200" w:line="276" w:lineRule="auto"/>
        <w:rPr>
          <w:rFonts w:ascii="Calibri" w:eastAsia="Calibri" w:hAnsi="Calibri" w:cs="Times New Roman"/>
        </w:rPr>
      </w:pPr>
      <w:r w:rsidRPr="001D3951">
        <w:rPr>
          <w:rFonts w:ascii="Calibri" w:eastAsia="Calibri" w:hAnsi="Calibri" w:cs="Times New Roman"/>
          <w:i/>
          <w:iCs/>
        </w:rPr>
        <w:t xml:space="preserve">If there are problems with how this message is displayed, this </w:t>
      </w:r>
      <w:proofErr w:type="spellStart"/>
      <w:r w:rsidRPr="001D3951">
        <w:rPr>
          <w:rFonts w:ascii="Calibri" w:eastAsia="Calibri" w:hAnsi="Calibri" w:cs="Times New Roman"/>
          <w:i/>
          <w:iCs/>
        </w:rPr>
        <w:t>newsline</w:t>
      </w:r>
      <w:proofErr w:type="spellEnd"/>
      <w:r w:rsidRPr="001D3951">
        <w:rPr>
          <w:rFonts w:ascii="Calibri" w:eastAsia="Calibri" w:hAnsi="Calibri" w:cs="Times New Roman"/>
          <w:i/>
          <w:iCs/>
        </w:rPr>
        <w:t xml:space="preserve"> can be viewed </w:t>
      </w:r>
      <w:hyperlink r:id="rId4" w:history="1">
        <w:r w:rsidRPr="001D3951">
          <w:rPr>
            <w:rFonts w:ascii="Calibri" w:eastAsia="Calibri" w:hAnsi="Calibri" w:cs="Times New Roman"/>
            <w:i/>
            <w:iCs/>
            <w:color w:val="0563C1"/>
            <w:u w:val="single"/>
          </w:rPr>
          <w:t>online</w:t>
        </w:r>
      </w:hyperlink>
      <w:r w:rsidRPr="001D3951">
        <w:rPr>
          <w:rFonts w:ascii="Calibri" w:eastAsia="Calibri" w:hAnsi="Calibri" w:cs="Times New Roman"/>
          <w:i/>
          <w:iCs/>
        </w:rPr>
        <w:t>.</w:t>
      </w:r>
    </w:p>
    <w:p w14:paraId="546E2158" w14:textId="77777777" w:rsidR="001D3951" w:rsidRPr="001D3951" w:rsidRDefault="001D3951" w:rsidP="001D3951">
      <w:pPr>
        <w:spacing w:after="200" w:line="276" w:lineRule="auto"/>
        <w:rPr>
          <w:rFonts w:ascii="Calibri" w:eastAsia="Calibri" w:hAnsi="Calibri" w:cs="Times New Roman"/>
        </w:rPr>
      </w:pPr>
      <w:r w:rsidRPr="001D3951">
        <w:rPr>
          <w:rFonts w:ascii="Calibri" w:eastAsia="Calibri" w:hAnsi="Calibri" w:cs="Times New Roman"/>
          <w:i/>
          <w:iCs/>
          <w:noProof/>
          <w:color w:val="1F497D"/>
        </w:rPr>
        <w:drawing>
          <wp:inline distT="0" distB="0" distL="0" distR="0" wp14:anchorId="6D7F56FE" wp14:editId="493949FB">
            <wp:extent cx="6391275" cy="1543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91275" cy="154305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360"/>
      </w:tblGrid>
      <w:tr w:rsidR="001D3951" w:rsidRPr="001D3951" w14:paraId="0DDF16F2" w14:textId="77777777" w:rsidTr="001D3951">
        <w:tc>
          <w:tcPr>
            <w:tcW w:w="9468" w:type="dxa"/>
            <w:tcMar>
              <w:top w:w="0" w:type="dxa"/>
              <w:left w:w="108" w:type="dxa"/>
              <w:bottom w:w="0" w:type="dxa"/>
              <w:right w:w="108" w:type="dxa"/>
            </w:tcMar>
          </w:tcPr>
          <w:p w14:paraId="2002023D" w14:textId="77777777" w:rsidR="001D3951" w:rsidRPr="001D3951" w:rsidRDefault="001D3951" w:rsidP="001D3951">
            <w:pPr>
              <w:spacing w:before="150" w:after="0" w:line="252" w:lineRule="auto"/>
              <w:rPr>
                <w:rFonts w:ascii="Calibri" w:eastAsia="Calibri" w:hAnsi="Calibri" w:cs="Times New Roman"/>
              </w:rPr>
            </w:pPr>
            <w:r w:rsidRPr="001D3951">
              <w:rPr>
                <w:rFonts w:ascii="Arial" w:eastAsia="Calibri" w:hAnsi="Arial" w:cs="Arial"/>
                <w:b/>
                <w:bCs/>
                <w:sz w:val="24"/>
                <w:szCs w:val="24"/>
              </w:rPr>
              <w:t>Newsline No.:</w:t>
            </w:r>
            <w:r w:rsidRPr="001D3951">
              <w:rPr>
                <w:rFonts w:ascii="Arial" w:eastAsia="Calibri" w:hAnsi="Arial" w:cs="Arial"/>
                <w:sz w:val="24"/>
                <w:szCs w:val="24"/>
              </w:rPr>
              <w:t xml:space="preserve"> 2021-35     </w:t>
            </w:r>
            <w:r w:rsidRPr="001D3951">
              <w:rPr>
                <w:rFonts w:ascii="Arial" w:eastAsia="Calibri" w:hAnsi="Arial" w:cs="Arial"/>
                <w:b/>
                <w:bCs/>
                <w:sz w:val="24"/>
                <w:szCs w:val="24"/>
              </w:rPr>
              <w:t>                                               Date:</w:t>
            </w:r>
            <w:r w:rsidRPr="001D3951">
              <w:rPr>
                <w:rFonts w:ascii="Arial" w:eastAsia="Calibri" w:hAnsi="Arial" w:cs="Arial"/>
                <w:sz w:val="24"/>
                <w:szCs w:val="24"/>
              </w:rPr>
              <w:t xml:space="preserve"> March 30, 2021</w:t>
            </w:r>
          </w:p>
          <w:p w14:paraId="081CACC4" w14:textId="77777777" w:rsidR="001D3951" w:rsidRPr="001D3951" w:rsidRDefault="001D3951" w:rsidP="001D3951">
            <w:pPr>
              <w:spacing w:after="0" w:line="252" w:lineRule="auto"/>
              <w:rPr>
                <w:rFonts w:ascii="Arial" w:eastAsia="Calibri" w:hAnsi="Arial" w:cs="Arial"/>
                <w:b/>
                <w:bCs/>
                <w:sz w:val="28"/>
                <w:szCs w:val="28"/>
              </w:rPr>
            </w:pPr>
            <w:r w:rsidRPr="001D3951">
              <w:rPr>
                <w:rFonts w:ascii="Arial" w:eastAsia="Calibri" w:hAnsi="Arial" w:cs="Arial"/>
                <w:sz w:val="24"/>
                <w:szCs w:val="24"/>
              </w:rPr>
              <w:t> </w:t>
            </w:r>
          </w:p>
          <w:p w14:paraId="4F1C7D12" w14:textId="77777777" w:rsidR="001D3951" w:rsidRPr="001D3951" w:rsidRDefault="001D3951" w:rsidP="001D3951">
            <w:pPr>
              <w:spacing w:before="100" w:beforeAutospacing="1" w:after="100" w:afterAutospacing="1" w:line="240" w:lineRule="auto"/>
              <w:rPr>
                <w:rFonts w:ascii="Arial" w:eastAsia="Calibri" w:hAnsi="Arial" w:cs="Arial"/>
                <w:b/>
                <w:bCs/>
                <w:sz w:val="28"/>
                <w:szCs w:val="28"/>
              </w:rPr>
            </w:pPr>
            <w:r w:rsidRPr="001D3951">
              <w:rPr>
                <w:rFonts w:ascii="Arial" w:eastAsia="Calibri" w:hAnsi="Arial" w:cs="Arial"/>
                <w:b/>
                <w:bCs/>
                <w:sz w:val="28"/>
                <w:szCs w:val="28"/>
              </w:rPr>
              <w:t>OAL Approves Medical-Legal Fee Schedule Regulations Effective April 1</w:t>
            </w:r>
          </w:p>
          <w:p w14:paraId="12F6F947" w14:textId="77777777" w:rsidR="001D3951" w:rsidRPr="001D3951" w:rsidRDefault="001D3951" w:rsidP="001D3951">
            <w:pPr>
              <w:spacing w:before="150" w:after="225" w:line="240" w:lineRule="auto"/>
              <w:rPr>
                <w:rFonts w:ascii="Arial" w:eastAsia="Calibri" w:hAnsi="Arial" w:cs="Arial"/>
                <w:sz w:val="24"/>
                <w:szCs w:val="24"/>
              </w:rPr>
            </w:pPr>
            <w:r w:rsidRPr="001D3951">
              <w:rPr>
                <w:rFonts w:ascii="Arial" w:eastAsia="Calibri" w:hAnsi="Arial" w:cs="Arial"/>
                <w:sz w:val="24"/>
                <w:szCs w:val="24"/>
              </w:rPr>
              <w:t xml:space="preserve">The </w:t>
            </w:r>
            <w:r w:rsidRPr="001D3951">
              <w:rPr>
                <w:rFonts w:ascii="Arial" w:eastAsia="Calibri" w:hAnsi="Arial" w:cs="Arial"/>
                <w:color w:val="333333"/>
                <w:sz w:val="24"/>
                <w:szCs w:val="24"/>
              </w:rPr>
              <w:t xml:space="preserve">Division of Workers’ Compensation (DWC) has received notification from the Office of Administrative Law (OAL) that the final version of the proposed Medical-Legal Fee Schedule (MLFS) was forwarded on March 30, 2021 to the office of the Secretary of State for filing and printing. This action represents official adoption of the new fee schedule, which has an effective date of April 1, 2021. </w:t>
            </w:r>
            <w:r w:rsidRPr="001D3951">
              <w:rPr>
                <w:rFonts w:ascii="Arial" w:eastAsia="Calibri" w:hAnsi="Arial" w:cs="Arial"/>
                <w:sz w:val="24"/>
                <w:szCs w:val="24"/>
              </w:rPr>
              <w:t xml:space="preserve">All medical-legal evaluations that occur on or after April 1, 2021 will be subject to the new MLFS. </w:t>
            </w:r>
          </w:p>
          <w:p w14:paraId="27C5D530" w14:textId="77777777" w:rsidR="001D3951" w:rsidRPr="001D3951" w:rsidRDefault="001D3951" w:rsidP="001D3951">
            <w:pPr>
              <w:spacing w:before="150" w:after="225" w:line="240" w:lineRule="auto"/>
              <w:rPr>
                <w:rFonts w:ascii="Arial" w:eastAsia="Calibri" w:hAnsi="Arial" w:cs="Arial"/>
                <w:color w:val="333333"/>
                <w:sz w:val="24"/>
                <w:szCs w:val="24"/>
              </w:rPr>
            </w:pPr>
            <w:r w:rsidRPr="001D3951">
              <w:rPr>
                <w:rFonts w:ascii="Arial" w:eastAsia="Calibri" w:hAnsi="Arial" w:cs="Arial"/>
                <w:color w:val="333333"/>
                <w:sz w:val="24"/>
                <w:szCs w:val="24"/>
              </w:rPr>
              <w:t>DWC has posted on its </w:t>
            </w:r>
            <w:hyperlink r:id="rId7" w:history="1">
              <w:r w:rsidRPr="001D3951">
                <w:rPr>
                  <w:rFonts w:ascii="Arial" w:eastAsia="Calibri" w:hAnsi="Arial" w:cs="Arial"/>
                  <w:color w:val="046B99"/>
                  <w:sz w:val="24"/>
                  <w:szCs w:val="24"/>
                  <w:u w:val="single"/>
                </w:rPr>
                <w:t>website</w:t>
              </w:r>
            </w:hyperlink>
            <w:r w:rsidRPr="001D3951">
              <w:rPr>
                <w:rFonts w:ascii="Arial" w:eastAsia="Calibri" w:hAnsi="Arial" w:cs="Arial"/>
                <w:color w:val="333333"/>
                <w:sz w:val="24"/>
                <w:szCs w:val="24"/>
              </w:rPr>
              <w:t> the final rulemaking documents filed with OAL. The documents include the final text of the new MLFS.</w:t>
            </w:r>
          </w:p>
          <w:p w14:paraId="6B905559" w14:textId="77777777" w:rsidR="001D3951" w:rsidRPr="001D3951" w:rsidRDefault="001D3951" w:rsidP="001D3951">
            <w:pPr>
              <w:spacing w:before="120" w:after="120" w:line="240" w:lineRule="auto"/>
              <w:rPr>
                <w:rFonts w:ascii="Arial" w:eastAsia="Calibri" w:hAnsi="Arial" w:cs="Arial"/>
                <w:sz w:val="24"/>
                <w:szCs w:val="24"/>
              </w:rPr>
            </w:pPr>
            <w:r w:rsidRPr="001D3951">
              <w:rPr>
                <w:rFonts w:ascii="Arial" w:eastAsia="Calibri" w:hAnsi="Arial" w:cs="Arial"/>
                <w:sz w:val="24"/>
                <w:szCs w:val="24"/>
              </w:rPr>
              <w:t>The MLFS provides that a declaration to the physician accounting for the records that were provided is required by the proposed regulations for evaluations that occur on or after April 1, 2021. The language states: “Any documents sent to the physician for record review must be accompanied by a declaration under penalty of perjury that the provider of the documents has complied with the provisions of Labor Code section 4062.3 before providing the documents to the physician. The declaration must also contain an attestation as to the total page count of the documents provided. A physician may not bill for review of documents that are not provided with this accompanying required declaration from the document provider. Any documents or records that are sent to the physician without the required declaration and attestation shall not be considered available to the physician or received by the physician for purposes of any regulatory or statutory duty of the physician regarding records and report writing.”</w:t>
            </w:r>
          </w:p>
          <w:p w14:paraId="1B27190B" w14:textId="77777777" w:rsidR="001D3951" w:rsidRPr="001D3951" w:rsidRDefault="001D3951" w:rsidP="001D3951">
            <w:pPr>
              <w:spacing w:before="120" w:after="120" w:line="240" w:lineRule="auto"/>
              <w:rPr>
                <w:rFonts w:ascii="Arial" w:eastAsia="Calibri" w:hAnsi="Arial" w:cs="Arial"/>
                <w:sz w:val="24"/>
                <w:szCs w:val="24"/>
              </w:rPr>
            </w:pPr>
            <w:r w:rsidRPr="001D3951">
              <w:rPr>
                <w:rFonts w:ascii="Arial" w:eastAsia="Calibri" w:hAnsi="Arial" w:cs="Arial"/>
                <w:color w:val="333333"/>
                <w:sz w:val="24"/>
                <w:szCs w:val="24"/>
              </w:rPr>
              <w:t xml:space="preserve">DWC realizes that there are Qualified Medical Evaluator (QME) evaluations currently scheduled for April that may not comply with the provisions of the attestation requirement for medical records under the new Medical-Legal Fee Schedule. The </w:t>
            </w:r>
            <w:r w:rsidRPr="001D3951">
              <w:rPr>
                <w:rFonts w:ascii="Arial" w:eastAsia="Calibri" w:hAnsi="Arial" w:cs="Arial"/>
                <w:color w:val="333333"/>
                <w:sz w:val="24"/>
                <w:szCs w:val="24"/>
              </w:rPr>
              <w:lastRenderedPageBreak/>
              <w:t>parties to these evaluations should communicate with each other to reach agreement on the handling of these evaluations.</w:t>
            </w:r>
          </w:p>
          <w:p w14:paraId="45F86914" w14:textId="77777777" w:rsidR="001D3951" w:rsidRPr="001D3951" w:rsidRDefault="001D3951" w:rsidP="001D3951">
            <w:pPr>
              <w:spacing w:after="0" w:line="240" w:lineRule="auto"/>
              <w:rPr>
                <w:rFonts w:ascii="Arial" w:eastAsia="Calibri" w:hAnsi="Arial" w:cs="Arial"/>
                <w:sz w:val="24"/>
                <w:szCs w:val="24"/>
              </w:rPr>
            </w:pPr>
          </w:p>
          <w:p w14:paraId="65E3F2F0" w14:textId="77777777" w:rsidR="001D3951" w:rsidRPr="001D3951" w:rsidRDefault="001D3951" w:rsidP="001D3951">
            <w:pPr>
              <w:spacing w:after="200" w:line="276" w:lineRule="auto"/>
              <w:jc w:val="center"/>
              <w:rPr>
                <w:rFonts w:ascii="Arial" w:eastAsia="Calibri" w:hAnsi="Arial" w:cs="Arial"/>
                <w:sz w:val="24"/>
                <w:szCs w:val="24"/>
                <w:lang w:val="en"/>
              </w:rPr>
            </w:pPr>
            <w:r w:rsidRPr="001D3951">
              <w:rPr>
                <w:rFonts w:ascii="Arial" w:eastAsia="Calibri" w:hAnsi="Arial" w:cs="Arial"/>
                <w:sz w:val="24"/>
                <w:szCs w:val="24"/>
                <w:lang w:val="en"/>
              </w:rPr>
              <w:t># # #</w:t>
            </w:r>
          </w:p>
          <w:p w14:paraId="74EBD6BF" w14:textId="77777777" w:rsidR="001D3951" w:rsidRPr="001D3951" w:rsidRDefault="001D3951" w:rsidP="001D3951">
            <w:pPr>
              <w:spacing w:after="120" w:line="252" w:lineRule="auto"/>
              <w:jc w:val="center"/>
              <w:rPr>
                <w:rFonts w:ascii="Arial" w:eastAsia="Calibri" w:hAnsi="Arial" w:cs="Arial"/>
                <w:sz w:val="24"/>
                <w:szCs w:val="24"/>
                <w:lang w:val="en"/>
              </w:rPr>
            </w:pPr>
            <w:r w:rsidRPr="001D3951">
              <w:rPr>
                <w:rFonts w:ascii="Verdana" w:eastAsia="Calibri" w:hAnsi="Verdana" w:cs="Times New Roman"/>
                <w:b/>
                <w:bCs/>
                <w:sz w:val="24"/>
                <w:szCs w:val="24"/>
              </w:rPr>
              <w:t>Follow or Subscribe to DIR</w:t>
            </w:r>
          </w:p>
          <w:p w14:paraId="169A5D5E" w14:textId="77777777" w:rsidR="001D3951" w:rsidRPr="001D3951" w:rsidRDefault="001D3951" w:rsidP="001D3951">
            <w:pPr>
              <w:spacing w:after="0" w:line="192" w:lineRule="auto"/>
              <w:ind w:left="1987"/>
              <w:rPr>
                <w:rFonts w:ascii="Arial" w:eastAsia="Calibri" w:hAnsi="Arial" w:cs="Arial"/>
                <w:sz w:val="24"/>
                <w:szCs w:val="24"/>
              </w:rPr>
            </w:pPr>
            <w:r w:rsidRPr="001D3951">
              <w:rPr>
                <w:rFonts w:ascii="Arial" w:eastAsia="Calibri" w:hAnsi="Arial" w:cs="Arial"/>
                <w:noProof/>
                <w:sz w:val="24"/>
                <w:szCs w:val="24"/>
              </w:rPr>
              <w:drawing>
                <wp:inline distT="0" distB="0" distL="0" distR="0" wp14:anchorId="35D7F7D4" wp14:editId="394B4B18">
                  <wp:extent cx="381000" cy="381000"/>
                  <wp:effectExtent l="0" t="0" r="0" b="0"/>
                  <wp:docPr id="2" name="Picture 2"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1D3951">
              <w:rPr>
                <w:rFonts w:ascii="Arial" w:eastAsia="Calibri" w:hAnsi="Arial" w:cs="Arial"/>
                <w:sz w:val="24"/>
                <w:szCs w:val="24"/>
              </w:rPr>
              <w:t xml:space="preserve">        </w:t>
            </w:r>
            <w:r w:rsidRPr="001D3951">
              <w:rPr>
                <w:rFonts w:ascii="Arial" w:eastAsia="Calibri" w:hAnsi="Arial" w:cs="Arial"/>
                <w:noProof/>
                <w:sz w:val="24"/>
                <w:szCs w:val="24"/>
              </w:rPr>
              <w:drawing>
                <wp:inline distT="0" distB="0" distL="0" distR="0" wp14:anchorId="188CB1B6" wp14:editId="688A4C5C">
                  <wp:extent cx="419100" cy="352425"/>
                  <wp:effectExtent l="0" t="0" r="0" b="9525"/>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19100" cy="352425"/>
                          </a:xfrm>
                          <a:prstGeom prst="rect">
                            <a:avLst/>
                          </a:prstGeom>
                          <a:noFill/>
                          <a:ln>
                            <a:noFill/>
                          </a:ln>
                        </pic:spPr>
                      </pic:pic>
                    </a:graphicData>
                  </a:graphic>
                </wp:inline>
              </w:drawing>
            </w:r>
            <w:r w:rsidRPr="001D3951">
              <w:rPr>
                <w:rFonts w:ascii="Arial" w:eastAsia="Calibri" w:hAnsi="Arial" w:cs="Arial"/>
                <w:sz w:val="24"/>
                <w:szCs w:val="24"/>
              </w:rPr>
              <w:t xml:space="preserve">   </w:t>
            </w:r>
            <w:r w:rsidRPr="001D3951">
              <w:rPr>
                <w:rFonts w:ascii="Arial" w:eastAsia="Calibri" w:hAnsi="Arial" w:cs="Arial"/>
                <w:noProof/>
                <w:sz w:val="24"/>
                <w:szCs w:val="24"/>
              </w:rPr>
              <w:drawing>
                <wp:inline distT="0" distB="0" distL="0" distR="0" wp14:anchorId="1CA05CEF" wp14:editId="4F1A0BCC">
                  <wp:extent cx="419100" cy="419100"/>
                  <wp:effectExtent l="0" t="0" r="0" b="0"/>
                  <wp:docPr id="4" name="Picture 4" descr="Instagram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app"/>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1D3951">
              <w:rPr>
                <w:rFonts w:ascii="Arial" w:eastAsia="Calibri" w:hAnsi="Arial" w:cs="Arial"/>
                <w:sz w:val="24"/>
                <w:szCs w:val="24"/>
              </w:rPr>
              <w:t xml:space="preserve">          </w:t>
            </w:r>
            <w:r w:rsidRPr="001D3951">
              <w:rPr>
                <w:rFonts w:ascii="Arial" w:eastAsia="Calibri" w:hAnsi="Arial" w:cs="Arial"/>
                <w:noProof/>
                <w:sz w:val="24"/>
                <w:szCs w:val="24"/>
              </w:rPr>
              <w:drawing>
                <wp:inline distT="0" distB="0" distL="0" distR="0" wp14:anchorId="35437C2F" wp14:editId="78FFE033">
                  <wp:extent cx="342900" cy="381000"/>
                  <wp:effectExtent l="0" t="0" r="0" b="0"/>
                  <wp:docPr id="5" name="Picture 5"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42900" cy="381000"/>
                          </a:xfrm>
                          <a:prstGeom prst="rect">
                            <a:avLst/>
                          </a:prstGeom>
                          <a:noFill/>
                          <a:ln>
                            <a:noFill/>
                          </a:ln>
                        </pic:spPr>
                      </pic:pic>
                    </a:graphicData>
                  </a:graphic>
                </wp:inline>
              </w:drawing>
            </w:r>
            <w:r w:rsidRPr="001D3951">
              <w:rPr>
                <w:rFonts w:ascii="Arial" w:eastAsia="Calibri" w:hAnsi="Arial" w:cs="Arial"/>
                <w:sz w:val="24"/>
                <w:szCs w:val="24"/>
              </w:rPr>
              <w:t xml:space="preserve">          </w:t>
            </w:r>
            <w:r w:rsidRPr="001D3951">
              <w:rPr>
                <w:rFonts w:ascii="Arial" w:eastAsia="Calibri" w:hAnsi="Arial" w:cs="Arial"/>
                <w:noProof/>
                <w:sz w:val="24"/>
                <w:szCs w:val="24"/>
              </w:rPr>
              <w:drawing>
                <wp:inline distT="0" distB="0" distL="0" distR="0" wp14:anchorId="0B490F86" wp14:editId="0CE53910">
                  <wp:extent cx="333375" cy="342900"/>
                  <wp:effectExtent l="0" t="0" r="9525" b="0"/>
                  <wp:docPr id="6" name="Picture 6" descr="GovDelivery E-mail Sub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Delivery E-mail Subscription"/>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3375" cy="342900"/>
                          </a:xfrm>
                          <a:prstGeom prst="rect">
                            <a:avLst/>
                          </a:prstGeom>
                          <a:noFill/>
                          <a:ln>
                            <a:noFill/>
                          </a:ln>
                        </pic:spPr>
                      </pic:pic>
                    </a:graphicData>
                  </a:graphic>
                </wp:inline>
              </w:drawing>
            </w:r>
          </w:p>
          <w:p w14:paraId="3AFC9BEA" w14:textId="77777777" w:rsidR="001D3951" w:rsidRPr="001D3951" w:rsidRDefault="001D3951" w:rsidP="001D3951">
            <w:pPr>
              <w:spacing w:after="200" w:line="192" w:lineRule="auto"/>
              <w:jc w:val="center"/>
              <w:rPr>
                <w:rFonts w:ascii="Arial" w:eastAsia="Calibri" w:hAnsi="Arial" w:cs="Arial"/>
                <w:i/>
                <w:iCs/>
                <w:sz w:val="24"/>
                <w:szCs w:val="24"/>
              </w:rPr>
            </w:pPr>
            <w:hyperlink r:id="rId18" w:history="1">
              <w:r w:rsidRPr="001D3951">
                <w:rPr>
                  <w:rFonts w:ascii="Arial" w:eastAsia="Calibri" w:hAnsi="Arial" w:cs="Arial"/>
                  <w:color w:val="0000FF"/>
                  <w:sz w:val="24"/>
                  <w:szCs w:val="24"/>
                  <w:u w:val="single"/>
                </w:rPr>
                <w:t>Facebook</w:t>
              </w:r>
            </w:hyperlink>
            <w:r w:rsidRPr="001D3951">
              <w:rPr>
                <w:rFonts w:ascii="Arial" w:eastAsia="Calibri" w:hAnsi="Arial" w:cs="Arial"/>
                <w:sz w:val="24"/>
                <w:szCs w:val="24"/>
              </w:rPr>
              <w:t xml:space="preserve">   </w:t>
            </w:r>
            <w:hyperlink r:id="rId19" w:history="1">
              <w:r w:rsidRPr="001D3951">
                <w:rPr>
                  <w:rFonts w:ascii="Arial" w:eastAsia="Calibri" w:hAnsi="Arial" w:cs="Arial"/>
                  <w:color w:val="0000FF"/>
                  <w:sz w:val="24"/>
                  <w:szCs w:val="24"/>
                  <w:u w:val="single"/>
                </w:rPr>
                <w:t>Twitter</w:t>
              </w:r>
            </w:hyperlink>
            <w:r w:rsidRPr="001D3951">
              <w:rPr>
                <w:rFonts w:ascii="Arial" w:eastAsia="Calibri" w:hAnsi="Arial" w:cs="Arial"/>
                <w:sz w:val="24"/>
                <w:szCs w:val="24"/>
              </w:rPr>
              <w:t xml:space="preserve">   </w:t>
            </w:r>
            <w:hyperlink r:id="rId20" w:history="1">
              <w:r w:rsidRPr="001D3951">
                <w:rPr>
                  <w:rFonts w:ascii="Arial" w:eastAsia="Calibri" w:hAnsi="Arial" w:cs="Arial"/>
                  <w:color w:val="0000FF"/>
                  <w:sz w:val="24"/>
                  <w:szCs w:val="24"/>
                  <w:u w:val="single"/>
                </w:rPr>
                <w:t>Instagram</w:t>
              </w:r>
            </w:hyperlink>
            <w:r w:rsidRPr="001D3951">
              <w:rPr>
                <w:rFonts w:ascii="Arial" w:eastAsia="Calibri" w:hAnsi="Arial" w:cs="Arial"/>
                <w:sz w:val="24"/>
                <w:szCs w:val="24"/>
              </w:rPr>
              <w:t xml:space="preserve">   </w:t>
            </w:r>
            <w:hyperlink r:id="rId21" w:history="1">
              <w:r w:rsidRPr="001D3951">
                <w:rPr>
                  <w:rFonts w:ascii="Arial" w:eastAsia="Calibri" w:hAnsi="Arial" w:cs="Arial"/>
                  <w:color w:val="0000FF"/>
                  <w:sz w:val="24"/>
                  <w:szCs w:val="24"/>
                  <w:u w:val="single"/>
                </w:rPr>
                <w:t>YouTube</w:t>
              </w:r>
            </w:hyperlink>
            <w:r w:rsidRPr="001D3951">
              <w:rPr>
                <w:rFonts w:ascii="Arial" w:eastAsia="Calibri" w:hAnsi="Arial" w:cs="Arial"/>
                <w:i/>
                <w:iCs/>
                <w:sz w:val="24"/>
                <w:szCs w:val="24"/>
              </w:rPr>
              <w:t xml:space="preserve">  </w:t>
            </w:r>
            <w:hyperlink r:id="rId22" w:history="1">
              <w:r w:rsidRPr="001D3951">
                <w:rPr>
                  <w:rFonts w:ascii="Arial" w:eastAsia="Calibri" w:hAnsi="Arial" w:cs="Arial"/>
                  <w:i/>
                  <w:iCs/>
                  <w:color w:val="0000FF"/>
                  <w:sz w:val="24"/>
                  <w:szCs w:val="24"/>
                  <w:u w:val="single"/>
                </w:rPr>
                <w:t>Email alerts</w:t>
              </w:r>
            </w:hyperlink>
          </w:p>
          <w:p w14:paraId="07F645C4" w14:textId="77777777" w:rsidR="001D3951" w:rsidRPr="001D3951" w:rsidRDefault="001D3951" w:rsidP="001D3951">
            <w:pPr>
              <w:spacing w:after="0" w:line="276" w:lineRule="auto"/>
              <w:rPr>
                <w:rFonts w:ascii="Calibri" w:eastAsia="Calibri" w:hAnsi="Calibri" w:cs="Times New Roman"/>
              </w:rPr>
            </w:pPr>
            <w:r w:rsidRPr="001D3951">
              <w:rPr>
                <w:rFonts w:ascii="Verdana" w:eastAsia="Calibri" w:hAnsi="Verdana" w:cs="Times New Roman"/>
                <w:sz w:val="24"/>
                <w:szCs w:val="24"/>
              </w:rPr>
              <w:t xml:space="preserve">The </w:t>
            </w:r>
            <w:hyperlink r:id="rId23" w:history="1">
              <w:r w:rsidRPr="001D3951">
                <w:rPr>
                  <w:rFonts w:ascii="Verdana" w:eastAsia="Calibri" w:hAnsi="Verdana" w:cs="Times New Roman"/>
                  <w:color w:val="0000FF"/>
                  <w:sz w:val="24"/>
                  <w:szCs w:val="24"/>
                  <w:u w:val="single"/>
                </w:rPr>
                <w:t>California Department of Industrial Relations</w:t>
              </w:r>
            </w:hyperlink>
            <w:r w:rsidRPr="001D3951">
              <w:rPr>
                <w:rFonts w:ascii="Verdana" w:eastAsia="Calibri" w:hAnsi="Verdana" w:cs="Times New Roman"/>
                <w:sz w:val="24"/>
                <w:szCs w:val="24"/>
              </w:rPr>
              <w:t xml:space="preserve">, established in 1927, protects and improves the health, safety, and economic well-being of over 18 million wage earners, and helps their employers comply with state labor laws. DIR is housed within the </w:t>
            </w:r>
            <w:hyperlink r:id="rId24" w:history="1">
              <w:r w:rsidRPr="001D3951">
                <w:rPr>
                  <w:rFonts w:ascii="Verdana" w:eastAsia="Calibri" w:hAnsi="Verdana" w:cs="Times New Roman"/>
                  <w:color w:val="0000FF"/>
                  <w:sz w:val="24"/>
                  <w:szCs w:val="24"/>
                  <w:u w:val="single"/>
                </w:rPr>
                <w:t>Labor &amp; Workforce Development Agency</w:t>
              </w:r>
            </w:hyperlink>
            <w:r w:rsidRPr="001D3951">
              <w:rPr>
                <w:rFonts w:ascii="Verdana" w:eastAsia="Calibri" w:hAnsi="Verdana" w:cs="Times New Roman"/>
                <w:sz w:val="24"/>
                <w:szCs w:val="24"/>
              </w:rPr>
              <w:t xml:space="preserve">. </w:t>
            </w:r>
          </w:p>
        </w:tc>
      </w:tr>
    </w:tbl>
    <w:p w14:paraId="427FF1DE" w14:textId="77777777" w:rsidR="001D3951" w:rsidRPr="001D3951" w:rsidRDefault="001D3951" w:rsidP="001D3951">
      <w:pPr>
        <w:spacing w:before="100" w:beforeAutospacing="1" w:after="100" w:afterAutospacing="1" w:line="240" w:lineRule="auto"/>
        <w:jc w:val="center"/>
        <w:rPr>
          <w:rFonts w:ascii="Times New Roman" w:eastAsia="Calibri" w:hAnsi="Times New Roman" w:cs="Times New Roman"/>
          <w:sz w:val="24"/>
          <w:szCs w:val="24"/>
        </w:rPr>
      </w:pPr>
    </w:p>
    <w:p w14:paraId="416EB514" w14:textId="77777777" w:rsidR="001D3951" w:rsidRPr="001D3951" w:rsidRDefault="001D3951" w:rsidP="001D3951">
      <w:pPr>
        <w:spacing w:after="0" w:line="240" w:lineRule="auto"/>
        <w:rPr>
          <w:rFonts w:ascii="Calibri" w:eastAsia="Times New Roman" w:hAnsi="Calibri" w:cs="Times New Roman"/>
        </w:rPr>
      </w:pPr>
    </w:p>
    <w:p w14:paraId="4F259B87" w14:textId="77777777" w:rsidR="001D3951" w:rsidRPr="001D3951" w:rsidRDefault="001D3951" w:rsidP="001D3951">
      <w:pPr>
        <w:spacing w:after="0" w:line="240" w:lineRule="auto"/>
        <w:jc w:val="center"/>
        <w:rPr>
          <w:rFonts w:ascii="Calibri" w:eastAsia="Times New Roman" w:hAnsi="Calibri" w:cs="Times New Roman"/>
        </w:rPr>
      </w:pPr>
      <w:r w:rsidRPr="001D3951">
        <w:rPr>
          <w:rFonts w:ascii="Calibri" w:eastAsia="Times New Roman" w:hAnsi="Calibri" w:cs="Times New Roman"/>
        </w:rPr>
        <w:pict w14:anchorId="75DFDC43">
          <v:rect id="_x0000_i1025" style="width:468pt;height:.75pt" o:hralign="center" o:hrstd="t" o:hr="t" fillcolor="#a0a0a0" stroked="f"/>
        </w:pict>
      </w:r>
    </w:p>
    <w:p w14:paraId="70CC6D05" w14:textId="77777777" w:rsidR="001D3951" w:rsidRPr="001D3951" w:rsidRDefault="001D3951" w:rsidP="001D3951">
      <w:pPr>
        <w:spacing w:before="100" w:beforeAutospacing="1" w:after="100" w:afterAutospacing="1" w:line="240" w:lineRule="auto"/>
        <w:jc w:val="center"/>
        <w:rPr>
          <w:rFonts w:ascii="Times New Roman" w:eastAsia="Calibri" w:hAnsi="Times New Roman" w:cs="Times New Roman"/>
          <w:sz w:val="24"/>
          <w:szCs w:val="24"/>
        </w:rPr>
      </w:pPr>
      <w:r w:rsidRPr="001D3951">
        <w:rPr>
          <w:rFonts w:ascii="Times New Roman" w:eastAsia="Calibri" w:hAnsi="Times New Roman" w:cs="Times New Roman"/>
          <w:sz w:val="24"/>
          <w:szCs w:val="24"/>
        </w:rPr>
        <w:t>If you no longer wish to receive our newsletter notice, please click to unsubscribe from the list:</w:t>
      </w:r>
      <w:r w:rsidRPr="001D3951">
        <w:rPr>
          <w:rFonts w:ascii="Times New Roman" w:eastAsia="Calibri" w:hAnsi="Times New Roman" w:cs="Times New Roman"/>
          <w:sz w:val="24"/>
          <w:szCs w:val="24"/>
        </w:rPr>
        <w:br/>
      </w:r>
      <w:hyperlink r:id="rId25" w:history="1">
        <w:r w:rsidRPr="001D3951">
          <w:rPr>
            <w:rFonts w:ascii="Times New Roman" w:eastAsia="Calibri" w:hAnsi="Times New Roman" w:cs="Times New Roman"/>
            <w:color w:val="0563C1"/>
            <w:sz w:val="24"/>
            <w:szCs w:val="24"/>
            <w:u w:val="single"/>
          </w:rPr>
          <w:t>DWC_NEWSLINE-signoff-request@LISTSERV.DIR.CA.GOV</w:t>
        </w:r>
      </w:hyperlink>
      <w:r w:rsidRPr="001D3951">
        <w:rPr>
          <w:rFonts w:ascii="Times New Roman" w:eastAsia="Calibri" w:hAnsi="Times New Roman" w:cs="Times New Roman"/>
          <w:sz w:val="24"/>
          <w:szCs w:val="24"/>
        </w:rPr>
        <w:t xml:space="preserve"> </w:t>
      </w:r>
    </w:p>
    <w:p w14:paraId="0CA36763" w14:textId="77777777" w:rsidR="00E44ED6" w:rsidRDefault="001D3951"/>
    <w:sectPr w:rsidR="00E44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951"/>
    <w:rsid w:val="001D3951"/>
    <w:rsid w:val="007925E5"/>
    <w:rsid w:val="00F9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3C42"/>
  <w15:chartTrackingRefBased/>
  <w15:docId w15:val="{B73E6263-B7F4-4EC3-A2CE-12EE6E6F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1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4.jpg@01D7258E.D779DAB0" TargetMode="External"/><Relationship Id="rId18" Type="http://schemas.openxmlformats.org/officeDocument/2006/relationships/hyperlink" Target="https://url.emailprotection.link/?bUU7m4NfMS_EWGtH1yojBHViA05aNKh_D6dM9Nd2JOiWFifmaoI-Hs25s59CBcHAIYYKKOHN2n5mFCnAmEeHKfw~~"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url.emailprotection.link/?bo-uAEDwV-pcJZjW2AWiJYqYpFtxcTi13cIAtqGYDriFTgoSRccTrMy7VNjVM-9dk5Ew8IK0cbmvee2zUgu-tjQ~~" TargetMode="External"/><Relationship Id="rId7" Type="http://schemas.openxmlformats.org/officeDocument/2006/relationships/hyperlink" Target="https://url.emailprotection.link/?b6j7ZSG6JQTnR-ZTCdYdLUWRZeJtNZVjnvtbguljNyJEBodXw8mCapLS_F343CsoCve1pdHBmV1ctyFytCdM5kCzKHkFu1PFzVi6n4mqORXPxqU8jDooyGqAdGb83JkwCGEYBP4Pe6zKNrmhZaTF4WmNrDt7dP5gufsjvYdPGmW4~" TargetMode="External"/><Relationship Id="rId12" Type="http://schemas.openxmlformats.org/officeDocument/2006/relationships/image" Target="media/image4.jpeg"/><Relationship Id="rId17" Type="http://schemas.openxmlformats.org/officeDocument/2006/relationships/image" Target="cid:image006.jpg@01D7258E.D779DAB0" TargetMode="External"/><Relationship Id="rId25" Type="http://schemas.openxmlformats.org/officeDocument/2006/relationships/hyperlink" Target="mailto:DWC_NEWSLINE-signoff-request@LISTSERV.DIR.CA.GOV"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yperlink" Target="https://url.emailprotection.link/?bOBlK03OFRZ1-lvC8KC_ps0ld7zay9ugCjRZEbLJQJA6sKFum3MK3Nls3XJeXJ-iB5DextI4CptMydJct-GE8cQ~~" TargetMode="External"/><Relationship Id="rId1" Type="http://schemas.openxmlformats.org/officeDocument/2006/relationships/styles" Target="styles.xml"/><Relationship Id="rId6" Type="http://schemas.openxmlformats.org/officeDocument/2006/relationships/image" Target="cid:image001.png@01D7258E.D779DAB0" TargetMode="External"/><Relationship Id="rId11" Type="http://schemas.openxmlformats.org/officeDocument/2006/relationships/image" Target="cid:image003.jpg@01D7258E.D779DAB0" TargetMode="External"/><Relationship Id="rId24" Type="http://schemas.openxmlformats.org/officeDocument/2006/relationships/hyperlink" Target="https://url.emailprotection.link/?bvj6_jmszejo2syfahHUfEnkr3qmVXwpdVdtsgsQSMHndJzrfoiV0KcNsy1bCuSp0RbSuWh28wHssMMl4nl5PpQ~~" TargetMode="External"/><Relationship Id="rId5" Type="http://schemas.openxmlformats.org/officeDocument/2006/relationships/image" Target="media/image1.png"/><Relationship Id="rId15" Type="http://schemas.openxmlformats.org/officeDocument/2006/relationships/image" Target="cid:image005.jpg@01D7258E.D779DAB0" TargetMode="External"/><Relationship Id="rId23" Type="http://schemas.openxmlformats.org/officeDocument/2006/relationships/hyperlink" Target="https://url.emailprotection.link/?bMcuBcUsfwX4EV3oiB6LfqpyCh3mGJxQcM05VXBQer-GNgI3Xgn8rOfGFTMnXhX_Qnvk83KS6sYOhRvhzoNhrjA~~" TargetMode="External"/><Relationship Id="rId10" Type="http://schemas.openxmlformats.org/officeDocument/2006/relationships/image" Target="media/image3.jpeg"/><Relationship Id="rId19" Type="http://schemas.openxmlformats.org/officeDocument/2006/relationships/hyperlink" Target="https://url.emailprotection.link/?bVO2q0UXR235wN_yOnM0FjqgD5_TtG8Swmnk7km5W6dNHHQyBK4TCqHvBjpVSyZkZ1WlMvinH9K1j87RlkHlz_g~~" TargetMode="External"/><Relationship Id="rId4" Type="http://schemas.openxmlformats.org/officeDocument/2006/relationships/hyperlink" Target="https://url.emailprotection.link/?b6j7ZSG6JQTnR-ZTCdYdLUfX5CO4fT6PXT1a3NNBKpc3mQ81FivLGtxgzrdbjvm2maBlRUrnI8cUWmau95FIhaUCAN93ehPiXNKiOC87185eaAwuRpfzUg0u-XzVjsqnU" TargetMode="External"/><Relationship Id="rId9" Type="http://schemas.openxmlformats.org/officeDocument/2006/relationships/image" Target="cid:image002.jpg@01D7258E.D779DAB0" TargetMode="External"/><Relationship Id="rId14" Type="http://schemas.openxmlformats.org/officeDocument/2006/relationships/image" Target="media/image5.jpeg"/><Relationship Id="rId22" Type="http://schemas.openxmlformats.org/officeDocument/2006/relationships/hyperlink" Target="https://url.emailprotection.link/?bMcuBcUsfwX4EV3oiB6Lfqrxd5cDr2lPGMTnOAJr8LVeMDz0RHeEzUcb7skt--Rn3b6_QEruwhcLQKqhbHcqgLmC7WhOjqDzStYXEAowqyEpvBOC2Ow_bzLOiy02PXvg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Secia</dc:creator>
  <cp:keywords/>
  <dc:description/>
  <cp:lastModifiedBy>Jackie Secia</cp:lastModifiedBy>
  <cp:revision>1</cp:revision>
  <dcterms:created xsi:type="dcterms:W3CDTF">2021-03-31T01:24:00Z</dcterms:created>
  <dcterms:modified xsi:type="dcterms:W3CDTF">2021-03-31T01:27:00Z</dcterms:modified>
</cp:coreProperties>
</file>