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2A1F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3EE19AB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6FFA1654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68379444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73FE95E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29E88DDF" w14:textId="77777777" w:rsidR="00A54CD7" w:rsidRPr="00F40DAA" w:rsidRDefault="00F40DAA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§ 9792.24.6. Antiemetic</w:t>
      </w:r>
      <w:r w:rsidR="00CF55E7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s</w:t>
      </w:r>
      <w:r w:rsidR="00B510F4"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 Guideline.</w:t>
      </w:r>
    </w:p>
    <w:p w14:paraId="59976BDE" w14:textId="77777777" w:rsidR="00A54CD7" w:rsidRPr="00F40DAA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The Administrative Director adopts and incorporates 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by reference the Antiemetic</w:t>
      </w:r>
      <w:r w:rsidR="00CF55E7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s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Guideline (ACOEM 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27, 2020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14:paraId="211204E8" w14:textId="77777777" w:rsidR="00B510F4" w:rsidRPr="00BE5E2B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BE5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7F4C" w14:textId="77777777" w:rsidR="00F94ED4" w:rsidRDefault="00F94ED4" w:rsidP="00733A3A">
      <w:pPr>
        <w:spacing w:after="0" w:line="240" w:lineRule="auto"/>
      </w:pPr>
      <w:r>
        <w:separator/>
      </w:r>
    </w:p>
  </w:endnote>
  <w:endnote w:type="continuationSeparator" w:id="0">
    <w:p w14:paraId="3F8EB05A" w14:textId="77777777" w:rsidR="00F94ED4" w:rsidRDefault="00F94ED4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45A6" w14:textId="77777777" w:rsidR="00097DDC" w:rsidRPr="0068307E" w:rsidRDefault="00B510F4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 xml:space="preserve">[Proposed] </w:t>
    </w:r>
    <w:r w:rsidR="00097DDC" w:rsidRPr="0068307E">
      <w:rPr>
        <w:rFonts w:ascii="Arial" w:hAnsi="Arial" w:cs="Arial"/>
        <w:sz w:val="20"/>
        <w:szCs w:val="20"/>
      </w:rPr>
      <w:t>Text of Regulations</w:t>
    </w:r>
  </w:p>
  <w:p w14:paraId="74FBBF9A" w14:textId="77777777" w:rsidR="001E3C13" w:rsidRPr="0068307E" w:rsidRDefault="00CF55E7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Evidence-Based Update</w:t>
    </w:r>
    <w:r w:rsidR="001E3C13" w:rsidRPr="0068307E">
      <w:rPr>
        <w:rFonts w:ascii="Arial" w:hAnsi="Arial" w:cs="Arial"/>
        <w:sz w:val="20"/>
        <w:szCs w:val="20"/>
      </w:rPr>
      <w:t xml:space="preserve"> to the Medical Treatment Utilization Schedule (MTUS)</w:t>
    </w:r>
  </w:p>
  <w:p w14:paraId="78F27007" w14:textId="77777777" w:rsidR="002704B2" w:rsidRPr="0068307E" w:rsidRDefault="00D53C2F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California Code of Regula</w:t>
    </w:r>
    <w:r w:rsidR="00BD592D" w:rsidRPr="0068307E">
      <w:rPr>
        <w:rFonts w:ascii="Arial" w:hAnsi="Arial" w:cs="Arial"/>
        <w:sz w:val="20"/>
        <w:szCs w:val="20"/>
      </w:rPr>
      <w:t xml:space="preserve">tions, title </w:t>
    </w:r>
    <w:r w:rsidR="00F40DAA" w:rsidRPr="0068307E">
      <w:rPr>
        <w:rFonts w:ascii="Arial" w:hAnsi="Arial" w:cs="Arial"/>
        <w:sz w:val="20"/>
        <w:szCs w:val="20"/>
      </w:rPr>
      <w:t>8, section 9792.24.6</w:t>
    </w:r>
  </w:p>
  <w:p w14:paraId="07C0AAC4" w14:textId="77777777"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14:paraId="0563DC2D" w14:textId="77777777"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68307E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F5E4C" w14:textId="77777777" w:rsidR="00F94ED4" w:rsidRDefault="00F94ED4" w:rsidP="00733A3A">
      <w:pPr>
        <w:spacing w:after="0" w:line="240" w:lineRule="auto"/>
      </w:pPr>
      <w:r>
        <w:separator/>
      </w:r>
    </w:p>
  </w:footnote>
  <w:footnote w:type="continuationSeparator" w:id="0">
    <w:p w14:paraId="3D36208E" w14:textId="77777777" w:rsidR="00F94ED4" w:rsidRDefault="00F94ED4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4EDE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7458E"/>
    <w:rsid w:val="00F828A7"/>
    <w:rsid w:val="00F94ED4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B13A8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CDE4-0986-4C9C-9520-55B897C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Jackie Secia</cp:lastModifiedBy>
  <cp:revision>2</cp:revision>
  <cp:lastPrinted>2019-07-15T22:24:00Z</cp:lastPrinted>
  <dcterms:created xsi:type="dcterms:W3CDTF">2020-08-10T20:42:00Z</dcterms:created>
  <dcterms:modified xsi:type="dcterms:W3CDTF">2020-08-10T20:42:00Z</dcterms:modified>
</cp:coreProperties>
</file>